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ascii="宋体"/>
          <w:b/>
          <w:sz w:val="44"/>
          <w:szCs w:val="44"/>
        </w:rPr>
      </w:pPr>
      <w:r>
        <w:rPr>
          <w:rFonts w:hint="eastAsia" w:ascii="宋体" w:hAnsi="宋体"/>
          <w:b/>
          <w:sz w:val="44"/>
          <w:szCs w:val="44"/>
        </w:rPr>
        <w:t>香河县委党校</w:t>
      </w:r>
      <w:r>
        <w:rPr>
          <w:rFonts w:ascii="宋体" w:hAnsi="宋体"/>
          <w:b/>
          <w:sz w:val="44"/>
          <w:szCs w:val="44"/>
        </w:rPr>
        <w:t>2018</w:t>
      </w:r>
      <w:r>
        <w:rPr>
          <w:rFonts w:hint="eastAsia" w:ascii="宋体" w:hAnsi="宋体"/>
          <w:b/>
          <w:sz w:val="44"/>
          <w:szCs w:val="44"/>
        </w:rPr>
        <w:t>年部门预算信息公开</w:t>
      </w:r>
    </w:p>
    <w:p>
      <w:pPr>
        <w:ind w:firstLine="883" w:firstLineChars="200"/>
        <w:jc w:val="center"/>
        <w:rPr>
          <w:rFonts w:ascii="宋体"/>
          <w:b/>
          <w:sz w:val="44"/>
          <w:szCs w:val="44"/>
        </w:rPr>
      </w:pPr>
    </w:p>
    <w:p>
      <w:pPr>
        <w:ind w:firstLine="640" w:firstLineChars="200"/>
        <w:rPr>
          <w:rFonts w:ascii="仿宋" w:hAnsi="仿宋" w:eastAsia="仿宋"/>
          <w:sz w:val="32"/>
          <w:szCs w:val="32"/>
        </w:rPr>
      </w:pPr>
      <w:r>
        <w:rPr>
          <w:rFonts w:hint="eastAsia" w:ascii="仿宋" w:hAnsi="仿宋" w:eastAsia="仿宋"/>
          <w:sz w:val="32"/>
          <w:szCs w:val="32"/>
        </w:rPr>
        <w:t>按照《预算法》、《地方预决算公开操作规程》和《河北省省级预算公开办法》规定，现将香河县委党校</w:t>
      </w:r>
      <w:r>
        <w:rPr>
          <w:rFonts w:ascii="仿宋" w:hAnsi="仿宋" w:eastAsia="仿宋"/>
          <w:sz w:val="32"/>
          <w:szCs w:val="32"/>
        </w:rPr>
        <w:t>2018</w:t>
      </w:r>
      <w:r>
        <w:rPr>
          <w:rFonts w:hint="eastAsia" w:ascii="仿宋" w:hAnsi="仿宋" w:eastAsia="仿宋"/>
          <w:sz w:val="32"/>
          <w:szCs w:val="32"/>
        </w:rPr>
        <w:t>年部门预算公开如下：</w:t>
      </w:r>
    </w:p>
    <w:p>
      <w:pPr>
        <w:ind w:firstLine="640"/>
        <w:rPr>
          <w:rFonts w:ascii="黑体" w:hAnsi="黑体" w:eastAsia="黑体"/>
          <w:sz w:val="32"/>
          <w:szCs w:val="32"/>
        </w:rPr>
      </w:pPr>
      <w:r>
        <w:rPr>
          <w:rFonts w:hint="eastAsia" w:ascii="黑体" w:hAnsi="黑体" w:eastAsia="黑体"/>
          <w:sz w:val="32"/>
          <w:szCs w:val="32"/>
        </w:rPr>
        <w:t>一、部门职责及机构设置情况</w:t>
      </w:r>
    </w:p>
    <w:p>
      <w:pPr>
        <w:ind w:firstLine="643" w:firstLineChars="200"/>
        <w:rPr>
          <w:rFonts w:ascii="仿宋" w:hAnsi="仿宋" w:eastAsia="仿宋"/>
          <w:b/>
          <w:sz w:val="32"/>
          <w:szCs w:val="32"/>
        </w:rPr>
      </w:pPr>
      <w:r>
        <w:rPr>
          <w:rFonts w:hint="eastAsia" w:ascii="仿宋" w:hAnsi="仿宋" w:eastAsia="仿宋"/>
          <w:b/>
          <w:sz w:val="32"/>
          <w:szCs w:val="32"/>
        </w:rPr>
        <w:t>部门职责：</w:t>
      </w:r>
    </w:p>
    <w:p>
      <w:pPr>
        <w:ind w:firstLine="640" w:firstLineChars="200"/>
        <w:rPr>
          <w:rFonts w:ascii="仿宋" w:hAnsi="仿宋" w:eastAsia="仿宋"/>
          <w:sz w:val="32"/>
          <w:szCs w:val="32"/>
        </w:rPr>
      </w:pPr>
      <w:r>
        <w:rPr>
          <w:rFonts w:hint="eastAsia" w:ascii="仿宋" w:hAnsi="仿宋" w:eastAsia="仿宋"/>
          <w:sz w:val="32"/>
          <w:szCs w:val="32"/>
        </w:rPr>
        <w:t>县委党校是党委领导下</w:t>
      </w:r>
      <w:r>
        <w:rPr>
          <w:rFonts w:ascii="仿宋" w:hAnsi="仿宋" w:eastAsia="仿宋"/>
          <w:sz w:val="32"/>
          <w:szCs w:val="32"/>
        </w:rPr>
        <w:t>,</w:t>
      </w:r>
      <w:r>
        <w:rPr>
          <w:rFonts w:hint="eastAsia" w:ascii="仿宋" w:hAnsi="仿宋" w:eastAsia="仿宋"/>
          <w:sz w:val="32"/>
          <w:szCs w:val="32"/>
        </w:rPr>
        <w:t>按照社会主义现代化事业的要求教育、培训党的干部的学校，是培养各级领导干部的学校，是培养各级领导干部、培养理论骨干、学习和研究马列主义、毛泽东思想、邓小平理论的重要阵地，也是干部增强党性锻炼的熔炉。</w:t>
      </w:r>
    </w:p>
    <w:p>
      <w:pPr>
        <w:ind w:firstLine="643" w:firstLineChars="200"/>
        <w:rPr>
          <w:rFonts w:ascii="仿宋" w:hAnsi="仿宋" w:eastAsia="仿宋"/>
          <w:b/>
          <w:sz w:val="32"/>
          <w:szCs w:val="32"/>
        </w:rPr>
      </w:pPr>
      <w:r>
        <w:rPr>
          <w:rFonts w:hint="eastAsia" w:ascii="仿宋" w:hAnsi="仿宋" w:eastAsia="仿宋"/>
          <w:b/>
          <w:sz w:val="32"/>
          <w:szCs w:val="32"/>
        </w:rPr>
        <w:t>机构设置：</w:t>
      </w:r>
    </w:p>
    <w:p>
      <w:pPr>
        <w:ind w:firstLine="640" w:firstLineChars="200"/>
        <w:jc w:val="left"/>
        <w:outlineLvl w:val="0"/>
        <w:rPr>
          <w:rFonts w:ascii="仿宋" w:hAnsi="仿宋" w:eastAsia="仿宋"/>
          <w:sz w:val="32"/>
          <w:szCs w:val="32"/>
        </w:rPr>
      </w:pPr>
      <w:r>
        <w:rPr>
          <w:rFonts w:hint="eastAsia" w:ascii="仿宋" w:hAnsi="仿宋" w:eastAsia="仿宋"/>
          <w:sz w:val="32"/>
          <w:szCs w:val="32"/>
        </w:rPr>
        <w:t>经费保障形式包括：财政性资金基本保证（全额事业）</w:t>
      </w:r>
    </w:p>
    <w:p>
      <w:pPr>
        <w:jc w:val="left"/>
        <w:outlineLvl w:val="0"/>
        <w:rPr>
          <w:rFonts w:ascii="仿宋" w:hAnsi="仿宋" w:eastAsia="仿宋"/>
          <w:sz w:val="32"/>
          <w:szCs w:val="32"/>
        </w:rPr>
      </w:pPr>
    </w:p>
    <w:p>
      <w:pPr>
        <w:jc w:val="left"/>
        <w:outlineLvl w:val="0"/>
        <w:rPr>
          <w:rFonts w:ascii="仿宋" w:hAnsi="仿宋" w:eastAsia="仿宋"/>
          <w:sz w:val="32"/>
          <w:szCs w:val="32"/>
        </w:rPr>
      </w:pPr>
    </w:p>
    <w:p>
      <w:pPr>
        <w:jc w:val="center"/>
        <w:outlineLvl w:val="0"/>
        <w:rPr>
          <w:rFonts w:ascii="Times New Roman" w:hAnsi="Times New Roman" w:eastAsia="方正小标宋_GBK"/>
          <w:sz w:val="32"/>
          <w:szCs w:val="24"/>
        </w:rPr>
      </w:pPr>
      <w:r>
        <w:rPr>
          <w:rFonts w:hint="eastAsia" w:ascii="Times New Roman" w:hAnsi="Times New Roman" w:eastAsia="方正小标宋_GBK"/>
          <w:sz w:val="32"/>
          <w:szCs w:val="24"/>
        </w:rPr>
        <w:t>部门机构设置情况</w:t>
      </w:r>
    </w:p>
    <w:tbl>
      <w:tblPr>
        <w:tblStyle w:val="8"/>
        <w:tblW w:w="10423" w:type="dxa"/>
        <w:jc w:val="center"/>
        <w:tblInd w:w="-94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776"/>
        <w:gridCol w:w="1134"/>
        <w:gridCol w:w="1276"/>
        <w:gridCol w:w="32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776"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单位名称</w:t>
            </w:r>
          </w:p>
        </w:tc>
        <w:tc>
          <w:tcPr>
            <w:tcW w:w="1134"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单位性质</w:t>
            </w:r>
          </w:p>
        </w:tc>
        <w:tc>
          <w:tcPr>
            <w:tcW w:w="1276"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单位规格</w:t>
            </w:r>
          </w:p>
        </w:tc>
        <w:tc>
          <w:tcPr>
            <w:tcW w:w="3237"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776" w:type="dxa"/>
            <w:vMerge w:val="continue"/>
            <w:vAlign w:val="center"/>
          </w:tcPr>
          <w:p>
            <w:pPr>
              <w:spacing w:line="300" w:lineRule="exact"/>
              <w:jc w:val="left"/>
              <w:outlineLvl w:val="0"/>
              <w:rPr>
                <w:rFonts w:ascii="Times New Roman" w:hAnsi="Times New Roman"/>
                <w:szCs w:val="24"/>
              </w:rPr>
            </w:pPr>
          </w:p>
        </w:tc>
        <w:tc>
          <w:tcPr>
            <w:tcW w:w="1134" w:type="dxa"/>
            <w:vMerge w:val="continue"/>
            <w:vAlign w:val="center"/>
          </w:tcPr>
          <w:p>
            <w:pPr>
              <w:spacing w:line="300" w:lineRule="exact"/>
              <w:jc w:val="left"/>
              <w:outlineLvl w:val="0"/>
              <w:rPr>
                <w:rFonts w:ascii="Times New Roman" w:hAnsi="Times New Roman"/>
                <w:szCs w:val="24"/>
              </w:rPr>
            </w:pPr>
          </w:p>
        </w:tc>
        <w:tc>
          <w:tcPr>
            <w:tcW w:w="1276" w:type="dxa"/>
            <w:vMerge w:val="continue"/>
            <w:vAlign w:val="center"/>
          </w:tcPr>
          <w:p>
            <w:pPr>
              <w:spacing w:line="300" w:lineRule="exact"/>
              <w:jc w:val="left"/>
              <w:outlineLvl w:val="0"/>
              <w:rPr>
                <w:rFonts w:ascii="Times New Roman" w:hAnsi="Times New Roman"/>
                <w:szCs w:val="24"/>
              </w:rPr>
            </w:pPr>
          </w:p>
        </w:tc>
        <w:tc>
          <w:tcPr>
            <w:tcW w:w="3237" w:type="dxa"/>
            <w:vMerge w:val="continue"/>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776"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中国共产党香河县委员会党校</w:t>
            </w:r>
          </w:p>
        </w:tc>
        <w:tc>
          <w:tcPr>
            <w:tcW w:w="1134"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lang w:eastAsia="zh-CN"/>
              </w:rPr>
              <w:t>全额</w:t>
            </w:r>
            <w:r>
              <w:rPr>
                <w:rFonts w:hint="eastAsia" w:ascii="Times New Roman" w:hAnsi="Times New Roman" w:eastAsia="方正书宋_GBK"/>
                <w:szCs w:val="24"/>
              </w:rPr>
              <w:t>事业</w:t>
            </w:r>
          </w:p>
        </w:tc>
        <w:tc>
          <w:tcPr>
            <w:tcW w:w="1276"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正科</w:t>
            </w:r>
          </w:p>
        </w:tc>
        <w:tc>
          <w:tcPr>
            <w:tcW w:w="3237"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财政性资金基本保证</w:t>
            </w:r>
          </w:p>
          <w:p>
            <w:pPr>
              <w:spacing w:line="300" w:lineRule="exact"/>
              <w:jc w:val="left"/>
              <w:rPr>
                <w:rFonts w:ascii="Times New Roman"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776" w:type="dxa"/>
            <w:vAlign w:val="center"/>
          </w:tcPr>
          <w:p>
            <w:pPr>
              <w:spacing w:line="300" w:lineRule="exact"/>
              <w:jc w:val="left"/>
              <w:rPr>
                <w:rFonts w:ascii="Times New Roman" w:hAnsi="Times New Roman" w:eastAsia="方正书宋_GBK"/>
                <w:szCs w:val="24"/>
              </w:rPr>
            </w:pPr>
          </w:p>
        </w:tc>
        <w:tc>
          <w:tcPr>
            <w:tcW w:w="1134" w:type="dxa"/>
            <w:vAlign w:val="center"/>
          </w:tcPr>
          <w:p>
            <w:pPr>
              <w:spacing w:line="300" w:lineRule="exact"/>
              <w:jc w:val="left"/>
              <w:rPr>
                <w:rFonts w:ascii="Times New Roman" w:hAnsi="Times New Roman" w:eastAsia="方正书宋_GBK"/>
                <w:szCs w:val="24"/>
              </w:rPr>
            </w:pPr>
          </w:p>
        </w:tc>
        <w:tc>
          <w:tcPr>
            <w:tcW w:w="1276" w:type="dxa"/>
            <w:vAlign w:val="center"/>
          </w:tcPr>
          <w:p>
            <w:pPr>
              <w:spacing w:line="300" w:lineRule="exact"/>
              <w:jc w:val="left"/>
              <w:rPr>
                <w:rFonts w:ascii="Times New Roman" w:hAnsi="Times New Roman" w:eastAsia="方正书宋_GBK"/>
                <w:szCs w:val="24"/>
              </w:rPr>
            </w:pPr>
          </w:p>
        </w:tc>
        <w:tc>
          <w:tcPr>
            <w:tcW w:w="3237" w:type="dxa"/>
            <w:vAlign w:val="center"/>
          </w:tcPr>
          <w:p>
            <w:pPr>
              <w:spacing w:line="300" w:lineRule="exact"/>
              <w:jc w:val="left"/>
              <w:rPr>
                <w:rFonts w:ascii="Times New Roman"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776" w:type="dxa"/>
            <w:vAlign w:val="center"/>
          </w:tcPr>
          <w:p>
            <w:pPr>
              <w:spacing w:line="300" w:lineRule="exact"/>
              <w:jc w:val="left"/>
              <w:rPr>
                <w:rFonts w:ascii="Times New Roman" w:hAnsi="Times New Roman" w:eastAsia="方正书宋_GBK"/>
                <w:szCs w:val="24"/>
              </w:rPr>
            </w:pPr>
          </w:p>
        </w:tc>
        <w:tc>
          <w:tcPr>
            <w:tcW w:w="1134" w:type="dxa"/>
            <w:vAlign w:val="center"/>
          </w:tcPr>
          <w:p>
            <w:pPr>
              <w:spacing w:line="300" w:lineRule="exact"/>
              <w:jc w:val="left"/>
              <w:rPr>
                <w:rFonts w:ascii="Times New Roman" w:hAnsi="Times New Roman" w:eastAsia="方正书宋_GBK"/>
                <w:szCs w:val="24"/>
              </w:rPr>
            </w:pPr>
          </w:p>
        </w:tc>
        <w:tc>
          <w:tcPr>
            <w:tcW w:w="1276" w:type="dxa"/>
            <w:vAlign w:val="center"/>
          </w:tcPr>
          <w:p>
            <w:pPr>
              <w:spacing w:line="300" w:lineRule="exact"/>
              <w:jc w:val="left"/>
              <w:rPr>
                <w:rFonts w:ascii="Times New Roman" w:hAnsi="Times New Roman" w:eastAsia="方正书宋_GBK"/>
                <w:szCs w:val="24"/>
              </w:rPr>
            </w:pPr>
          </w:p>
        </w:tc>
        <w:tc>
          <w:tcPr>
            <w:tcW w:w="3237" w:type="dxa"/>
            <w:vAlign w:val="center"/>
          </w:tcPr>
          <w:p>
            <w:pPr>
              <w:spacing w:line="300" w:lineRule="exact"/>
              <w:jc w:val="left"/>
              <w:rPr>
                <w:rFonts w:ascii="Times New Roman"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776" w:type="dxa"/>
            <w:vAlign w:val="center"/>
          </w:tcPr>
          <w:p>
            <w:pPr>
              <w:spacing w:line="300" w:lineRule="exact"/>
              <w:jc w:val="left"/>
              <w:rPr>
                <w:rFonts w:ascii="Times New Roman" w:hAnsi="Times New Roman" w:eastAsia="方正书宋_GBK"/>
                <w:szCs w:val="24"/>
              </w:rPr>
            </w:pPr>
          </w:p>
        </w:tc>
        <w:tc>
          <w:tcPr>
            <w:tcW w:w="1134" w:type="dxa"/>
            <w:vAlign w:val="center"/>
          </w:tcPr>
          <w:p>
            <w:pPr>
              <w:spacing w:line="300" w:lineRule="exact"/>
              <w:jc w:val="left"/>
              <w:rPr>
                <w:rFonts w:ascii="Times New Roman" w:hAnsi="Times New Roman" w:eastAsia="方正书宋_GBK"/>
                <w:szCs w:val="24"/>
              </w:rPr>
            </w:pPr>
          </w:p>
        </w:tc>
        <w:tc>
          <w:tcPr>
            <w:tcW w:w="1276" w:type="dxa"/>
            <w:vAlign w:val="center"/>
          </w:tcPr>
          <w:p>
            <w:pPr>
              <w:spacing w:line="300" w:lineRule="exact"/>
              <w:jc w:val="left"/>
              <w:rPr>
                <w:rFonts w:ascii="Times New Roman" w:hAnsi="Times New Roman" w:eastAsia="方正书宋_GBK"/>
                <w:szCs w:val="24"/>
              </w:rPr>
            </w:pPr>
          </w:p>
        </w:tc>
        <w:tc>
          <w:tcPr>
            <w:tcW w:w="3237" w:type="dxa"/>
            <w:vAlign w:val="center"/>
          </w:tcPr>
          <w:p>
            <w:pPr>
              <w:spacing w:line="300" w:lineRule="exact"/>
              <w:jc w:val="left"/>
              <w:rPr>
                <w:rFonts w:ascii="Times New Roman"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776" w:type="dxa"/>
            <w:vAlign w:val="center"/>
          </w:tcPr>
          <w:p>
            <w:pPr>
              <w:spacing w:line="300" w:lineRule="exact"/>
              <w:jc w:val="left"/>
              <w:rPr>
                <w:rFonts w:ascii="Times New Roman" w:hAnsi="Times New Roman" w:eastAsia="方正书宋_GBK"/>
                <w:szCs w:val="24"/>
              </w:rPr>
            </w:pPr>
          </w:p>
        </w:tc>
        <w:tc>
          <w:tcPr>
            <w:tcW w:w="1134" w:type="dxa"/>
            <w:vAlign w:val="center"/>
          </w:tcPr>
          <w:p>
            <w:pPr>
              <w:spacing w:line="300" w:lineRule="exact"/>
              <w:jc w:val="left"/>
              <w:rPr>
                <w:rFonts w:ascii="Times New Roman" w:hAnsi="Times New Roman" w:eastAsia="方正书宋_GBK"/>
                <w:szCs w:val="24"/>
              </w:rPr>
            </w:pPr>
          </w:p>
        </w:tc>
        <w:tc>
          <w:tcPr>
            <w:tcW w:w="1276" w:type="dxa"/>
            <w:vAlign w:val="center"/>
          </w:tcPr>
          <w:p>
            <w:pPr>
              <w:spacing w:line="300" w:lineRule="exact"/>
              <w:jc w:val="left"/>
              <w:rPr>
                <w:rFonts w:ascii="Times New Roman" w:hAnsi="Times New Roman" w:eastAsia="方正书宋_GBK"/>
                <w:szCs w:val="24"/>
              </w:rPr>
            </w:pPr>
          </w:p>
        </w:tc>
        <w:tc>
          <w:tcPr>
            <w:tcW w:w="3237" w:type="dxa"/>
            <w:vAlign w:val="center"/>
          </w:tcPr>
          <w:p>
            <w:pPr>
              <w:spacing w:line="300" w:lineRule="exact"/>
              <w:jc w:val="left"/>
              <w:rPr>
                <w:rFonts w:ascii="Times New Roman"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776" w:type="dxa"/>
            <w:vAlign w:val="center"/>
          </w:tcPr>
          <w:p>
            <w:pPr>
              <w:spacing w:line="300" w:lineRule="exact"/>
              <w:jc w:val="left"/>
              <w:rPr>
                <w:rFonts w:ascii="Times New Roman" w:hAnsi="Times New Roman" w:eastAsia="方正书宋_GBK"/>
                <w:szCs w:val="24"/>
              </w:rPr>
            </w:pPr>
          </w:p>
        </w:tc>
        <w:tc>
          <w:tcPr>
            <w:tcW w:w="1134" w:type="dxa"/>
            <w:vAlign w:val="center"/>
          </w:tcPr>
          <w:p>
            <w:pPr>
              <w:spacing w:line="300" w:lineRule="exact"/>
              <w:jc w:val="left"/>
              <w:rPr>
                <w:rFonts w:ascii="Times New Roman" w:hAnsi="Times New Roman" w:eastAsia="方正书宋_GBK"/>
                <w:szCs w:val="24"/>
              </w:rPr>
            </w:pPr>
          </w:p>
        </w:tc>
        <w:tc>
          <w:tcPr>
            <w:tcW w:w="1276" w:type="dxa"/>
            <w:vAlign w:val="center"/>
          </w:tcPr>
          <w:p>
            <w:pPr>
              <w:spacing w:line="300" w:lineRule="exact"/>
              <w:jc w:val="left"/>
              <w:rPr>
                <w:rFonts w:ascii="Times New Roman" w:hAnsi="Times New Roman" w:eastAsia="方正书宋_GBK"/>
                <w:szCs w:val="24"/>
              </w:rPr>
            </w:pPr>
          </w:p>
        </w:tc>
        <w:tc>
          <w:tcPr>
            <w:tcW w:w="3237" w:type="dxa"/>
            <w:vAlign w:val="center"/>
          </w:tcPr>
          <w:p>
            <w:pPr>
              <w:spacing w:line="300" w:lineRule="exact"/>
              <w:jc w:val="left"/>
              <w:rPr>
                <w:rFonts w:ascii="Times New Roman"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776" w:type="dxa"/>
            <w:vAlign w:val="center"/>
          </w:tcPr>
          <w:p>
            <w:pPr>
              <w:spacing w:line="300" w:lineRule="exact"/>
              <w:jc w:val="left"/>
              <w:rPr>
                <w:rFonts w:ascii="Times New Roman" w:hAnsi="Times New Roman" w:eastAsia="方正书宋_GBK"/>
                <w:szCs w:val="24"/>
              </w:rPr>
            </w:pPr>
          </w:p>
        </w:tc>
        <w:tc>
          <w:tcPr>
            <w:tcW w:w="1134" w:type="dxa"/>
            <w:vAlign w:val="center"/>
          </w:tcPr>
          <w:p>
            <w:pPr>
              <w:spacing w:line="300" w:lineRule="exact"/>
              <w:jc w:val="left"/>
              <w:rPr>
                <w:rFonts w:ascii="Times New Roman" w:hAnsi="Times New Roman" w:eastAsia="方正书宋_GBK"/>
                <w:szCs w:val="24"/>
              </w:rPr>
            </w:pPr>
          </w:p>
        </w:tc>
        <w:tc>
          <w:tcPr>
            <w:tcW w:w="1276" w:type="dxa"/>
            <w:vAlign w:val="center"/>
          </w:tcPr>
          <w:p>
            <w:pPr>
              <w:spacing w:line="300" w:lineRule="exact"/>
              <w:jc w:val="left"/>
              <w:rPr>
                <w:rFonts w:ascii="Times New Roman" w:hAnsi="Times New Roman" w:eastAsia="方正书宋_GBK"/>
                <w:szCs w:val="24"/>
              </w:rPr>
            </w:pPr>
          </w:p>
        </w:tc>
        <w:tc>
          <w:tcPr>
            <w:tcW w:w="3237" w:type="dxa"/>
            <w:vAlign w:val="center"/>
          </w:tcPr>
          <w:p>
            <w:pPr>
              <w:spacing w:line="300" w:lineRule="exact"/>
              <w:jc w:val="left"/>
              <w:rPr>
                <w:rFonts w:ascii="Times New Roman"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776" w:type="dxa"/>
            <w:vAlign w:val="center"/>
          </w:tcPr>
          <w:p>
            <w:pPr>
              <w:spacing w:line="300" w:lineRule="exact"/>
              <w:jc w:val="left"/>
              <w:rPr>
                <w:rFonts w:ascii="Times New Roman" w:hAnsi="Times New Roman" w:eastAsia="方正书宋_GBK"/>
                <w:szCs w:val="24"/>
              </w:rPr>
            </w:pPr>
          </w:p>
        </w:tc>
        <w:tc>
          <w:tcPr>
            <w:tcW w:w="1134" w:type="dxa"/>
            <w:vAlign w:val="center"/>
          </w:tcPr>
          <w:p>
            <w:pPr>
              <w:spacing w:line="300" w:lineRule="exact"/>
              <w:jc w:val="left"/>
              <w:rPr>
                <w:rFonts w:ascii="Times New Roman" w:hAnsi="Times New Roman" w:eastAsia="方正书宋_GBK"/>
                <w:szCs w:val="24"/>
              </w:rPr>
            </w:pPr>
          </w:p>
        </w:tc>
        <w:tc>
          <w:tcPr>
            <w:tcW w:w="1276" w:type="dxa"/>
            <w:vAlign w:val="center"/>
          </w:tcPr>
          <w:p>
            <w:pPr>
              <w:spacing w:line="300" w:lineRule="exact"/>
              <w:jc w:val="left"/>
              <w:rPr>
                <w:rFonts w:ascii="Times New Roman" w:hAnsi="Times New Roman" w:eastAsia="方正书宋_GBK"/>
                <w:szCs w:val="24"/>
              </w:rPr>
            </w:pPr>
          </w:p>
        </w:tc>
        <w:tc>
          <w:tcPr>
            <w:tcW w:w="3237" w:type="dxa"/>
            <w:vAlign w:val="center"/>
          </w:tcPr>
          <w:p>
            <w:pPr>
              <w:spacing w:line="300" w:lineRule="exact"/>
              <w:jc w:val="left"/>
              <w:rPr>
                <w:rFonts w:ascii="Times New Roman" w:hAnsi="Times New Roman" w:eastAsia="方正书宋_GBK"/>
                <w:szCs w:val="24"/>
              </w:rPr>
            </w:pPr>
          </w:p>
        </w:tc>
      </w:tr>
    </w:tbl>
    <w:p>
      <w:pPr>
        <w:ind w:firstLine="640"/>
        <w:rPr>
          <w:rFonts w:ascii="黑体" w:hAnsi="黑体" w:eastAsia="黑体"/>
          <w:sz w:val="32"/>
          <w:szCs w:val="32"/>
        </w:rPr>
      </w:pPr>
    </w:p>
    <w:p>
      <w:pPr>
        <w:ind w:firstLine="640"/>
        <w:rPr>
          <w:rFonts w:ascii="黑体" w:hAnsi="黑体" w:eastAsia="黑体"/>
          <w:sz w:val="32"/>
          <w:szCs w:val="32"/>
        </w:rPr>
      </w:pPr>
      <w:r>
        <w:rPr>
          <w:rFonts w:hint="eastAsia" w:ascii="黑体" w:hAnsi="黑体" w:eastAsia="黑体"/>
          <w:sz w:val="32"/>
          <w:szCs w:val="32"/>
        </w:rPr>
        <w:t>二、部门预算安排的总体情况</w:t>
      </w:r>
    </w:p>
    <w:p>
      <w:pPr>
        <w:ind w:firstLine="640" w:firstLineChars="200"/>
        <w:rPr>
          <w:rFonts w:ascii="仿宋" w:hAnsi="仿宋" w:eastAsia="仿宋"/>
          <w:sz w:val="32"/>
          <w:szCs w:val="32"/>
        </w:rPr>
      </w:pPr>
      <w:r>
        <w:rPr>
          <w:rFonts w:hint="eastAsia" w:ascii="仿宋" w:hAnsi="仿宋" w:eastAsia="仿宋"/>
          <w:sz w:val="32"/>
          <w:szCs w:val="32"/>
        </w:rPr>
        <w:t>按照预算管理有关规定，目前我县部门预算的编制实行综合预算制度，即全部收入和支出都反映在预算中。</w:t>
      </w:r>
    </w:p>
    <w:p>
      <w:pPr>
        <w:ind w:firstLine="640"/>
        <w:rPr>
          <w:rFonts w:ascii="楷体" w:hAnsi="楷体" w:eastAsia="楷体"/>
          <w:b/>
          <w:sz w:val="32"/>
          <w:szCs w:val="32"/>
        </w:rPr>
      </w:pPr>
      <w:r>
        <w:rPr>
          <w:rFonts w:ascii="楷体" w:hAnsi="楷体" w:eastAsia="楷体"/>
          <w:b/>
          <w:sz w:val="32"/>
          <w:szCs w:val="32"/>
        </w:rPr>
        <w:t>1</w:t>
      </w:r>
      <w:r>
        <w:rPr>
          <w:rFonts w:hint="eastAsia" w:ascii="楷体" w:hAnsi="楷体" w:eastAsia="楷体"/>
          <w:b/>
          <w:sz w:val="32"/>
          <w:szCs w:val="32"/>
        </w:rPr>
        <w:t>、收入说明</w:t>
      </w:r>
    </w:p>
    <w:p>
      <w:pPr>
        <w:ind w:firstLine="640"/>
        <w:rPr>
          <w:rFonts w:ascii="仿宋" w:hAnsi="仿宋" w:eastAsia="仿宋"/>
          <w:sz w:val="32"/>
          <w:szCs w:val="32"/>
        </w:rPr>
      </w:pPr>
      <w:r>
        <w:rPr>
          <w:rFonts w:hint="eastAsia" w:ascii="仿宋" w:hAnsi="仿宋" w:eastAsia="仿宋"/>
          <w:sz w:val="32"/>
          <w:szCs w:val="32"/>
        </w:rPr>
        <w:t>反映本部门当年全部收入。</w:t>
      </w:r>
      <w:r>
        <w:rPr>
          <w:rFonts w:ascii="仿宋" w:hAnsi="仿宋" w:eastAsia="仿宋"/>
          <w:sz w:val="32"/>
          <w:szCs w:val="32"/>
        </w:rPr>
        <w:t>2018</w:t>
      </w:r>
      <w:r>
        <w:rPr>
          <w:rFonts w:hint="eastAsia" w:ascii="仿宋" w:hAnsi="仿宋" w:eastAsia="仿宋"/>
          <w:sz w:val="32"/>
          <w:szCs w:val="32"/>
        </w:rPr>
        <w:t>年预算收入总额</w:t>
      </w:r>
      <w:r>
        <w:rPr>
          <w:rFonts w:ascii="仿宋" w:hAnsi="仿宋" w:eastAsia="仿宋"/>
          <w:sz w:val="32"/>
          <w:szCs w:val="32"/>
        </w:rPr>
        <w:t>546.9</w:t>
      </w:r>
      <w:r>
        <w:rPr>
          <w:rFonts w:hint="eastAsia" w:ascii="仿宋" w:hAnsi="仿宋" w:eastAsia="仿宋"/>
          <w:sz w:val="32"/>
          <w:szCs w:val="32"/>
        </w:rPr>
        <w:t>万元，其中：财政拨款收入</w:t>
      </w:r>
      <w:r>
        <w:rPr>
          <w:rFonts w:ascii="仿宋" w:hAnsi="仿宋" w:eastAsia="仿宋"/>
          <w:sz w:val="32"/>
          <w:szCs w:val="32"/>
        </w:rPr>
        <w:t>546.9</w:t>
      </w:r>
      <w:r>
        <w:rPr>
          <w:rFonts w:hint="eastAsia" w:ascii="仿宋" w:hAnsi="仿宋" w:eastAsia="仿宋"/>
          <w:sz w:val="32"/>
          <w:szCs w:val="32"/>
        </w:rPr>
        <w:t>万元（包括一般公共预算</w:t>
      </w:r>
      <w:r>
        <w:rPr>
          <w:rFonts w:ascii="仿宋" w:hAnsi="仿宋" w:eastAsia="仿宋"/>
          <w:sz w:val="32"/>
          <w:szCs w:val="32"/>
        </w:rPr>
        <w:t>546.9</w:t>
      </w:r>
      <w:r>
        <w:rPr>
          <w:rFonts w:hint="eastAsia" w:ascii="仿宋" w:hAnsi="仿宋" w:eastAsia="仿宋"/>
          <w:sz w:val="32"/>
          <w:szCs w:val="32"/>
        </w:rPr>
        <w:t>万元、政府性基金预算</w:t>
      </w:r>
      <w:r>
        <w:rPr>
          <w:rFonts w:ascii="仿宋" w:hAnsi="仿宋" w:eastAsia="仿宋"/>
          <w:sz w:val="32"/>
          <w:szCs w:val="32"/>
        </w:rPr>
        <w:t>0</w:t>
      </w:r>
      <w:r>
        <w:rPr>
          <w:rFonts w:hint="eastAsia" w:ascii="仿宋" w:hAnsi="仿宋" w:eastAsia="仿宋"/>
          <w:sz w:val="32"/>
          <w:szCs w:val="32"/>
        </w:rPr>
        <w:t>万元、国有资本经营预算</w:t>
      </w:r>
      <w:r>
        <w:rPr>
          <w:rFonts w:ascii="仿宋" w:hAnsi="仿宋" w:eastAsia="仿宋"/>
          <w:sz w:val="32"/>
          <w:szCs w:val="32"/>
        </w:rPr>
        <w:t>0</w:t>
      </w:r>
      <w:r>
        <w:rPr>
          <w:rFonts w:hint="eastAsia" w:ascii="仿宋" w:hAnsi="仿宋" w:eastAsia="仿宋"/>
          <w:sz w:val="32"/>
          <w:szCs w:val="32"/>
        </w:rPr>
        <w:t>万元）、上级补助收入</w:t>
      </w:r>
      <w:r>
        <w:rPr>
          <w:rFonts w:ascii="仿宋" w:hAnsi="仿宋" w:eastAsia="仿宋"/>
          <w:sz w:val="32"/>
          <w:szCs w:val="32"/>
        </w:rPr>
        <w:t>0</w:t>
      </w:r>
      <w:r>
        <w:rPr>
          <w:rFonts w:hint="eastAsia" w:ascii="仿宋" w:hAnsi="仿宋" w:eastAsia="仿宋"/>
          <w:sz w:val="32"/>
          <w:szCs w:val="32"/>
        </w:rPr>
        <w:t>万元、事业收入</w:t>
      </w:r>
      <w:r>
        <w:rPr>
          <w:rFonts w:ascii="仿宋" w:hAnsi="仿宋" w:eastAsia="仿宋"/>
          <w:sz w:val="32"/>
          <w:szCs w:val="32"/>
        </w:rPr>
        <w:t>0</w:t>
      </w:r>
      <w:r>
        <w:rPr>
          <w:rFonts w:hint="eastAsia" w:ascii="仿宋" w:hAnsi="仿宋" w:eastAsia="仿宋"/>
          <w:sz w:val="32"/>
          <w:szCs w:val="32"/>
        </w:rPr>
        <w:t>万元、经营收入</w:t>
      </w:r>
      <w:r>
        <w:rPr>
          <w:rFonts w:ascii="仿宋" w:hAnsi="仿宋" w:eastAsia="仿宋"/>
          <w:sz w:val="32"/>
          <w:szCs w:val="32"/>
        </w:rPr>
        <w:t>0</w:t>
      </w:r>
      <w:r>
        <w:rPr>
          <w:rFonts w:hint="eastAsia" w:ascii="仿宋" w:hAnsi="仿宋" w:eastAsia="仿宋"/>
          <w:sz w:val="32"/>
          <w:szCs w:val="32"/>
        </w:rPr>
        <w:t>万元、附属单位上缴收入</w:t>
      </w:r>
      <w:r>
        <w:rPr>
          <w:rFonts w:ascii="仿宋" w:hAnsi="仿宋" w:eastAsia="仿宋"/>
          <w:sz w:val="32"/>
          <w:szCs w:val="32"/>
        </w:rPr>
        <w:t>0</w:t>
      </w:r>
      <w:r>
        <w:rPr>
          <w:rFonts w:hint="eastAsia" w:ascii="仿宋" w:hAnsi="仿宋" w:eastAsia="仿宋"/>
          <w:sz w:val="32"/>
          <w:szCs w:val="32"/>
        </w:rPr>
        <w:t>万元、其他收入</w:t>
      </w:r>
      <w:r>
        <w:rPr>
          <w:rFonts w:ascii="仿宋" w:hAnsi="仿宋" w:eastAsia="仿宋"/>
          <w:sz w:val="32"/>
          <w:szCs w:val="32"/>
        </w:rPr>
        <w:t>0</w:t>
      </w:r>
      <w:r>
        <w:rPr>
          <w:rFonts w:hint="eastAsia" w:ascii="仿宋" w:hAnsi="仿宋" w:eastAsia="仿宋"/>
          <w:sz w:val="32"/>
          <w:szCs w:val="32"/>
        </w:rPr>
        <w:t>万元。</w:t>
      </w:r>
    </w:p>
    <w:p>
      <w:pPr>
        <w:ind w:firstLine="640"/>
        <w:rPr>
          <w:rFonts w:ascii="楷体" w:hAnsi="楷体" w:eastAsia="楷体"/>
          <w:b/>
          <w:sz w:val="32"/>
          <w:szCs w:val="32"/>
        </w:rPr>
      </w:pPr>
      <w:r>
        <w:rPr>
          <w:rFonts w:ascii="楷体" w:hAnsi="楷体" w:eastAsia="楷体"/>
          <w:b/>
          <w:sz w:val="32"/>
          <w:szCs w:val="32"/>
        </w:rPr>
        <w:t>2</w:t>
      </w:r>
      <w:r>
        <w:rPr>
          <w:rFonts w:hint="eastAsia" w:ascii="楷体" w:hAnsi="楷体" w:eastAsia="楷体"/>
          <w:b/>
          <w:sz w:val="32"/>
          <w:szCs w:val="32"/>
        </w:rPr>
        <w:t>、支出说明</w:t>
      </w:r>
    </w:p>
    <w:p>
      <w:pPr>
        <w:ind w:firstLine="640"/>
        <w:rPr>
          <w:rFonts w:ascii="仿宋" w:hAnsi="仿宋" w:eastAsia="仿宋"/>
          <w:sz w:val="32"/>
          <w:szCs w:val="32"/>
        </w:rPr>
      </w:pPr>
      <w:r>
        <w:rPr>
          <w:rFonts w:hint="eastAsia" w:ascii="仿宋" w:hAnsi="仿宋" w:eastAsia="仿宋"/>
          <w:sz w:val="32"/>
          <w:szCs w:val="32"/>
        </w:rPr>
        <w:t>收支预算总表支出栏、基本支出表、项目支出表按经济分类和支出功能分类科目编制，反映香河县</w:t>
      </w:r>
      <w:r>
        <w:rPr>
          <w:rFonts w:ascii="仿宋" w:hAnsi="仿宋" w:eastAsia="仿宋"/>
          <w:sz w:val="32"/>
          <w:szCs w:val="32"/>
        </w:rPr>
        <w:t>XX</w:t>
      </w:r>
      <w:r>
        <w:rPr>
          <w:rFonts w:hint="eastAsia" w:ascii="仿宋" w:hAnsi="仿宋" w:eastAsia="仿宋"/>
          <w:sz w:val="32"/>
          <w:szCs w:val="32"/>
        </w:rPr>
        <w:t>部门年度部门预算中支出预算的总体情况。</w:t>
      </w:r>
      <w:r>
        <w:rPr>
          <w:rFonts w:ascii="仿宋" w:hAnsi="仿宋" w:eastAsia="仿宋"/>
          <w:sz w:val="32"/>
          <w:szCs w:val="32"/>
        </w:rPr>
        <w:t>2018</w:t>
      </w:r>
      <w:r>
        <w:rPr>
          <w:rFonts w:hint="eastAsia" w:ascii="仿宋" w:hAnsi="仿宋" w:eastAsia="仿宋"/>
          <w:sz w:val="32"/>
          <w:szCs w:val="32"/>
        </w:rPr>
        <w:t>年支出预算</w:t>
      </w:r>
      <w:r>
        <w:rPr>
          <w:rFonts w:ascii="仿宋" w:hAnsi="仿宋" w:eastAsia="仿宋"/>
          <w:sz w:val="32"/>
          <w:szCs w:val="32"/>
        </w:rPr>
        <w:t>546.9</w:t>
      </w:r>
      <w:r>
        <w:rPr>
          <w:rFonts w:hint="eastAsia" w:ascii="仿宋" w:hAnsi="仿宋" w:eastAsia="仿宋"/>
          <w:sz w:val="32"/>
          <w:szCs w:val="32"/>
        </w:rPr>
        <w:t>万元，其中基本支出</w:t>
      </w:r>
      <w:r>
        <w:rPr>
          <w:rFonts w:ascii="仿宋" w:hAnsi="仿宋" w:eastAsia="仿宋"/>
          <w:sz w:val="32"/>
          <w:szCs w:val="32"/>
        </w:rPr>
        <w:t>482.9</w:t>
      </w:r>
      <w:r>
        <w:rPr>
          <w:rFonts w:hint="eastAsia" w:ascii="仿宋" w:hAnsi="仿宋" w:eastAsia="仿宋"/>
          <w:sz w:val="32"/>
          <w:szCs w:val="32"/>
        </w:rPr>
        <w:t>万元，包括人员经费</w:t>
      </w:r>
      <w:r>
        <w:rPr>
          <w:rFonts w:ascii="仿宋" w:hAnsi="仿宋" w:eastAsia="仿宋"/>
          <w:sz w:val="32"/>
          <w:szCs w:val="32"/>
        </w:rPr>
        <w:t>430.62</w:t>
      </w:r>
      <w:r>
        <w:rPr>
          <w:rFonts w:hint="eastAsia" w:ascii="仿宋" w:hAnsi="仿宋" w:eastAsia="仿宋"/>
          <w:sz w:val="32"/>
          <w:szCs w:val="32"/>
        </w:rPr>
        <w:t>万元和日常公用经费</w:t>
      </w:r>
      <w:r>
        <w:rPr>
          <w:rFonts w:ascii="仿宋" w:hAnsi="仿宋" w:eastAsia="仿宋"/>
          <w:sz w:val="32"/>
          <w:szCs w:val="32"/>
        </w:rPr>
        <w:t>52.28</w:t>
      </w:r>
      <w:r>
        <w:rPr>
          <w:rFonts w:hint="eastAsia" w:ascii="仿宋" w:hAnsi="仿宋" w:eastAsia="仿宋"/>
          <w:sz w:val="32"/>
          <w:szCs w:val="32"/>
        </w:rPr>
        <w:t>万元；项目支出</w:t>
      </w:r>
      <w:r>
        <w:rPr>
          <w:rFonts w:ascii="仿宋" w:hAnsi="仿宋" w:eastAsia="仿宋"/>
          <w:sz w:val="32"/>
          <w:szCs w:val="32"/>
        </w:rPr>
        <w:t>64</w:t>
      </w:r>
      <w:r>
        <w:rPr>
          <w:rFonts w:hint="eastAsia" w:ascii="仿宋" w:hAnsi="仿宋" w:eastAsia="仿宋"/>
          <w:sz w:val="32"/>
          <w:szCs w:val="32"/>
        </w:rPr>
        <w:t>万元，包括本级支出</w:t>
      </w:r>
      <w:r>
        <w:rPr>
          <w:rFonts w:ascii="仿宋" w:hAnsi="仿宋" w:eastAsia="仿宋"/>
          <w:sz w:val="32"/>
          <w:szCs w:val="32"/>
        </w:rPr>
        <w:t>64</w:t>
      </w:r>
      <w:r>
        <w:rPr>
          <w:rFonts w:hint="eastAsia" w:ascii="仿宋" w:hAnsi="仿宋" w:eastAsia="仿宋"/>
          <w:sz w:val="32"/>
          <w:szCs w:val="32"/>
        </w:rPr>
        <w:t>万元和对下补助支出</w:t>
      </w:r>
      <w:r>
        <w:rPr>
          <w:rFonts w:ascii="仿宋" w:hAnsi="仿宋" w:eastAsia="仿宋"/>
          <w:sz w:val="32"/>
          <w:szCs w:val="32"/>
        </w:rPr>
        <w:t>0</w:t>
      </w:r>
      <w:r>
        <w:rPr>
          <w:rFonts w:hint="eastAsia" w:ascii="仿宋" w:hAnsi="仿宋" w:eastAsia="仿宋"/>
          <w:sz w:val="32"/>
          <w:szCs w:val="32"/>
        </w:rPr>
        <w:t>万元，主要为进修及培训项目支出等；上缴上级支出</w:t>
      </w:r>
      <w:r>
        <w:rPr>
          <w:rFonts w:ascii="仿宋" w:hAnsi="仿宋" w:eastAsia="仿宋"/>
          <w:sz w:val="32"/>
          <w:szCs w:val="32"/>
        </w:rPr>
        <w:t>0</w:t>
      </w:r>
      <w:r>
        <w:rPr>
          <w:rFonts w:hint="eastAsia" w:ascii="仿宋" w:hAnsi="仿宋" w:eastAsia="仿宋"/>
          <w:sz w:val="32"/>
          <w:szCs w:val="32"/>
        </w:rPr>
        <w:t>万元</w:t>
      </w:r>
      <w:r>
        <w:rPr>
          <w:rFonts w:ascii="仿宋" w:hAnsi="仿宋" w:eastAsia="仿宋"/>
          <w:sz w:val="32"/>
          <w:szCs w:val="32"/>
        </w:rPr>
        <w:t>0</w:t>
      </w:r>
      <w:r>
        <w:rPr>
          <w:rFonts w:hint="eastAsia" w:ascii="仿宋" w:hAnsi="仿宋" w:eastAsia="仿宋"/>
          <w:sz w:val="32"/>
          <w:szCs w:val="32"/>
        </w:rPr>
        <w:t>；其他支出</w:t>
      </w:r>
      <w:r>
        <w:rPr>
          <w:rFonts w:ascii="仿宋" w:hAnsi="仿宋" w:eastAsia="仿宋"/>
          <w:sz w:val="32"/>
          <w:szCs w:val="32"/>
        </w:rPr>
        <w:t>0</w:t>
      </w:r>
      <w:r>
        <w:rPr>
          <w:rFonts w:hint="eastAsia" w:ascii="仿宋" w:hAnsi="仿宋" w:eastAsia="仿宋"/>
          <w:sz w:val="32"/>
          <w:szCs w:val="32"/>
        </w:rPr>
        <w:t>万元。</w:t>
      </w:r>
    </w:p>
    <w:p>
      <w:pPr>
        <w:ind w:firstLine="640"/>
        <w:rPr>
          <w:rFonts w:ascii="楷体" w:hAnsi="楷体" w:eastAsia="楷体"/>
          <w:b/>
          <w:sz w:val="32"/>
          <w:szCs w:val="32"/>
        </w:rPr>
      </w:pPr>
      <w:r>
        <w:rPr>
          <w:rFonts w:ascii="楷体" w:hAnsi="楷体" w:eastAsia="楷体"/>
          <w:b/>
          <w:sz w:val="32"/>
          <w:szCs w:val="32"/>
        </w:rPr>
        <w:t>3</w:t>
      </w:r>
      <w:r>
        <w:rPr>
          <w:rFonts w:hint="eastAsia" w:ascii="楷体" w:hAnsi="楷体" w:eastAsia="楷体"/>
          <w:b/>
          <w:sz w:val="32"/>
          <w:szCs w:val="32"/>
        </w:rPr>
        <w:t>、比上年增减情况</w:t>
      </w:r>
    </w:p>
    <w:p>
      <w:pPr>
        <w:ind w:firstLine="640"/>
        <w:rPr>
          <w:rFonts w:ascii="仿宋" w:hAnsi="仿宋" w:eastAsia="仿宋"/>
          <w:sz w:val="32"/>
          <w:szCs w:val="32"/>
        </w:rPr>
      </w:pPr>
      <w:r>
        <w:rPr>
          <w:rFonts w:ascii="仿宋" w:hAnsi="仿宋" w:eastAsia="仿宋"/>
          <w:sz w:val="32"/>
          <w:szCs w:val="32"/>
        </w:rPr>
        <w:t>2018</w:t>
      </w:r>
      <w:r>
        <w:rPr>
          <w:rFonts w:hint="eastAsia" w:ascii="仿宋" w:hAnsi="仿宋" w:eastAsia="仿宋"/>
          <w:sz w:val="32"/>
          <w:szCs w:val="32"/>
        </w:rPr>
        <w:t>年预算收支安排</w:t>
      </w:r>
      <w:r>
        <w:rPr>
          <w:rFonts w:ascii="仿宋" w:hAnsi="仿宋" w:eastAsia="仿宋"/>
          <w:sz w:val="32"/>
          <w:szCs w:val="32"/>
        </w:rPr>
        <w:t>546.9</w:t>
      </w:r>
      <w:r>
        <w:rPr>
          <w:rFonts w:hint="eastAsia" w:ascii="仿宋" w:hAnsi="仿宋" w:eastAsia="仿宋"/>
          <w:sz w:val="32"/>
          <w:szCs w:val="32"/>
        </w:rPr>
        <w:t>万元，较</w:t>
      </w:r>
      <w:r>
        <w:rPr>
          <w:rFonts w:ascii="仿宋" w:hAnsi="仿宋" w:eastAsia="仿宋"/>
          <w:sz w:val="32"/>
          <w:szCs w:val="32"/>
        </w:rPr>
        <w:t>2017</w:t>
      </w:r>
      <w:r>
        <w:rPr>
          <w:rFonts w:hint="eastAsia" w:ascii="仿宋" w:hAnsi="仿宋" w:eastAsia="仿宋"/>
          <w:sz w:val="32"/>
          <w:szCs w:val="32"/>
        </w:rPr>
        <w:t>年预算增加</w:t>
      </w:r>
      <w:r>
        <w:rPr>
          <w:rFonts w:ascii="仿宋" w:hAnsi="仿宋" w:eastAsia="仿宋"/>
          <w:sz w:val="32"/>
          <w:szCs w:val="32"/>
        </w:rPr>
        <w:t>64.38</w:t>
      </w:r>
      <w:r>
        <w:rPr>
          <w:rFonts w:hint="eastAsia" w:ascii="仿宋" w:hAnsi="仿宋" w:eastAsia="仿宋"/>
          <w:sz w:val="32"/>
          <w:szCs w:val="32"/>
        </w:rPr>
        <w:t>万元，其中：基本支出增加</w:t>
      </w:r>
      <w:r>
        <w:rPr>
          <w:rFonts w:ascii="仿宋" w:hAnsi="仿宋" w:eastAsia="仿宋"/>
          <w:sz w:val="32"/>
          <w:szCs w:val="32"/>
        </w:rPr>
        <w:t>138.38</w:t>
      </w:r>
      <w:r>
        <w:rPr>
          <w:rFonts w:hint="eastAsia" w:ascii="仿宋" w:hAnsi="仿宋" w:eastAsia="仿宋"/>
          <w:sz w:val="32"/>
          <w:szCs w:val="32"/>
        </w:rPr>
        <w:t>万元，主要为增加人员经费支出；项目支出减少</w:t>
      </w:r>
      <w:r>
        <w:rPr>
          <w:rFonts w:ascii="仿宋" w:hAnsi="仿宋" w:eastAsia="仿宋"/>
          <w:sz w:val="32"/>
          <w:szCs w:val="32"/>
        </w:rPr>
        <w:t>73.99</w:t>
      </w:r>
      <w:r>
        <w:rPr>
          <w:rFonts w:hint="eastAsia" w:ascii="仿宋" w:hAnsi="仿宋" w:eastAsia="仿宋"/>
          <w:sz w:val="32"/>
          <w:szCs w:val="32"/>
        </w:rPr>
        <w:t>万元，主要减少专项购置和基建项目支出。</w:t>
      </w:r>
    </w:p>
    <w:p>
      <w:pPr>
        <w:ind w:firstLine="640"/>
        <w:rPr>
          <w:rFonts w:ascii="黑体" w:hAnsi="黑体" w:eastAsia="黑体"/>
          <w:sz w:val="32"/>
          <w:szCs w:val="32"/>
        </w:rPr>
      </w:pPr>
      <w:r>
        <w:rPr>
          <w:rFonts w:hint="eastAsia" w:ascii="黑体" w:hAnsi="黑体" w:eastAsia="黑体"/>
          <w:sz w:val="32"/>
          <w:szCs w:val="32"/>
        </w:rPr>
        <w:t>三、机关运行经费安排情况</w:t>
      </w:r>
    </w:p>
    <w:p>
      <w:pPr>
        <w:autoSpaceDE w:val="0"/>
        <w:autoSpaceDN w:val="0"/>
        <w:adjustRightInd w:val="0"/>
        <w:ind w:left="198" w:firstLine="640" w:firstLineChars="200"/>
        <w:jc w:val="left"/>
        <w:rPr>
          <w:rFonts w:ascii="仿宋" w:hAnsi="仿宋" w:eastAsia="仿宋"/>
          <w:color w:val="FF0000"/>
          <w:sz w:val="32"/>
          <w:szCs w:val="32"/>
        </w:rPr>
      </w:pPr>
      <w:r>
        <w:rPr>
          <w:rFonts w:ascii="仿宋" w:hAnsi="仿宋" w:eastAsia="仿宋"/>
          <w:sz w:val="32"/>
          <w:szCs w:val="32"/>
        </w:rPr>
        <w:t>2018</w:t>
      </w:r>
      <w:r>
        <w:rPr>
          <w:rFonts w:hint="eastAsia" w:ascii="仿宋" w:hAnsi="仿宋" w:eastAsia="仿宋"/>
          <w:sz w:val="32"/>
          <w:szCs w:val="32"/>
        </w:rPr>
        <w:t>年机关运行经费共计安排</w:t>
      </w:r>
      <w:r>
        <w:rPr>
          <w:rFonts w:ascii="仿宋" w:hAnsi="仿宋" w:eastAsia="仿宋"/>
          <w:sz w:val="32"/>
          <w:szCs w:val="32"/>
        </w:rPr>
        <w:t>52.28</w:t>
      </w:r>
      <w:r>
        <w:rPr>
          <w:rFonts w:hint="eastAsia" w:ascii="仿宋" w:hAnsi="仿宋" w:eastAsia="仿宋"/>
          <w:sz w:val="32"/>
          <w:szCs w:val="32"/>
        </w:rPr>
        <w:t>万元，主要用于党校办公区的日常维修、办公用房水电费、办公用房取暖费、办公用房物业管理费等日常运行支出。</w:t>
      </w:r>
    </w:p>
    <w:p>
      <w:pPr>
        <w:ind w:firstLine="640"/>
        <w:rPr>
          <w:rFonts w:ascii="黑体" w:hAnsi="黑体" w:eastAsia="黑体"/>
          <w:sz w:val="32"/>
          <w:szCs w:val="32"/>
        </w:rPr>
      </w:pPr>
      <w:r>
        <w:rPr>
          <w:rFonts w:hint="eastAsia" w:ascii="黑体" w:hAnsi="黑体" w:eastAsia="黑体"/>
          <w:sz w:val="32"/>
          <w:szCs w:val="32"/>
        </w:rPr>
        <w:t>四、财政拨款“三公”经费预算情况及增减变化原因</w:t>
      </w:r>
    </w:p>
    <w:p>
      <w:pPr>
        <w:autoSpaceDE w:val="0"/>
        <w:autoSpaceDN w:val="0"/>
        <w:adjustRightInd w:val="0"/>
        <w:spacing w:line="560" w:lineRule="exact"/>
        <w:ind w:left="198" w:firstLine="640" w:firstLineChars="200"/>
        <w:rPr>
          <w:rFonts w:ascii="仿宋" w:hAnsi="仿宋" w:eastAsia="仿宋"/>
          <w:sz w:val="32"/>
          <w:szCs w:val="32"/>
        </w:rPr>
      </w:pPr>
      <w:r>
        <w:rPr>
          <w:rFonts w:ascii="仿宋" w:hAnsi="仿宋" w:eastAsia="仿宋"/>
          <w:sz w:val="32"/>
          <w:szCs w:val="32"/>
        </w:rPr>
        <w:t>2018</w:t>
      </w:r>
      <w:r>
        <w:rPr>
          <w:rFonts w:hint="eastAsia" w:ascii="仿宋" w:hAnsi="仿宋" w:eastAsia="仿宋"/>
          <w:sz w:val="32"/>
          <w:szCs w:val="32"/>
        </w:rPr>
        <w:t>年，本部门</w:t>
      </w:r>
      <w:r>
        <w:rPr>
          <w:rFonts w:ascii="仿宋" w:hAnsi="仿宋" w:eastAsia="仿宋"/>
          <w:sz w:val="32"/>
          <w:szCs w:val="32"/>
        </w:rPr>
        <w:t xml:space="preserve"> </w:t>
      </w:r>
      <w:r>
        <w:rPr>
          <w:rFonts w:hint="eastAsia" w:ascii="仿宋" w:hAnsi="仿宋" w:eastAsia="仿宋"/>
          <w:sz w:val="32"/>
          <w:szCs w:val="32"/>
        </w:rPr>
        <w:t>“三公”经费预算安排</w:t>
      </w:r>
      <w:r>
        <w:rPr>
          <w:rFonts w:ascii="仿宋" w:hAnsi="仿宋" w:eastAsia="仿宋"/>
          <w:sz w:val="32"/>
          <w:szCs w:val="32"/>
        </w:rPr>
        <w:t>1.9</w:t>
      </w:r>
      <w:r>
        <w:rPr>
          <w:rFonts w:hint="eastAsia" w:ascii="仿宋" w:hAnsi="仿宋" w:eastAsia="仿宋"/>
          <w:sz w:val="32"/>
          <w:szCs w:val="32"/>
        </w:rPr>
        <w:t>万元</w:t>
      </w:r>
      <w:r>
        <w:rPr>
          <w:rFonts w:hint="eastAsia" w:ascii="方正仿宋_GBK" w:hAnsi="宋体" w:eastAsia="方正仿宋_GBK" w:cs="宋体"/>
          <w:color w:val="000000"/>
          <w:kern w:val="0"/>
          <w:sz w:val="32"/>
          <w:szCs w:val="32"/>
        </w:rPr>
        <w:t>（</w:t>
      </w:r>
      <w:r>
        <w:rPr>
          <w:rFonts w:hint="eastAsia" w:ascii="仿宋" w:hAnsi="仿宋" w:eastAsia="仿宋"/>
          <w:sz w:val="32"/>
          <w:szCs w:val="32"/>
        </w:rPr>
        <w:t>包括一般公共预算</w:t>
      </w:r>
      <w:r>
        <w:rPr>
          <w:rFonts w:ascii="仿宋" w:hAnsi="仿宋" w:eastAsia="仿宋"/>
          <w:sz w:val="32"/>
          <w:szCs w:val="32"/>
        </w:rPr>
        <w:t>1.9</w:t>
      </w:r>
      <w:r>
        <w:rPr>
          <w:rFonts w:hint="eastAsia" w:ascii="仿宋" w:hAnsi="仿宋" w:eastAsia="仿宋"/>
          <w:sz w:val="32"/>
          <w:szCs w:val="32"/>
        </w:rPr>
        <w:t>万元、政府性基金预算</w:t>
      </w:r>
      <w:r>
        <w:rPr>
          <w:rFonts w:ascii="仿宋" w:hAnsi="仿宋" w:eastAsia="仿宋"/>
          <w:sz w:val="32"/>
          <w:szCs w:val="32"/>
        </w:rPr>
        <w:t>0</w:t>
      </w:r>
      <w:r>
        <w:rPr>
          <w:rFonts w:hint="eastAsia" w:ascii="仿宋" w:hAnsi="仿宋" w:eastAsia="仿宋"/>
          <w:sz w:val="32"/>
          <w:szCs w:val="32"/>
        </w:rPr>
        <w:t>万元、国有资本经营预算</w:t>
      </w:r>
      <w:r>
        <w:rPr>
          <w:rFonts w:ascii="仿宋" w:hAnsi="仿宋" w:eastAsia="仿宋"/>
          <w:sz w:val="32"/>
          <w:szCs w:val="32"/>
        </w:rPr>
        <w:t>0</w:t>
      </w:r>
      <w:r>
        <w:rPr>
          <w:rFonts w:hint="eastAsia" w:ascii="仿宋" w:hAnsi="仿宋" w:eastAsia="仿宋"/>
          <w:sz w:val="32"/>
          <w:szCs w:val="32"/>
        </w:rPr>
        <w:t>万元和财政专户核拨资金</w:t>
      </w:r>
      <w:r>
        <w:rPr>
          <w:rFonts w:ascii="仿宋" w:hAnsi="仿宋" w:eastAsia="仿宋"/>
          <w:sz w:val="32"/>
          <w:szCs w:val="32"/>
        </w:rPr>
        <w:t>0</w:t>
      </w:r>
      <w:r>
        <w:rPr>
          <w:rFonts w:hint="eastAsia" w:ascii="仿宋" w:hAnsi="仿宋" w:eastAsia="仿宋"/>
          <w:sz w:val="32"/>
          <w:szCs w:val="32"/>
        </w:rPr>
        <w:t>万元），其中因公出国（境）费</w:t>
      </w:r>
      <w:r>
        <w:rPr>
          <w:rFonts w:ascii="仿宋" w:hAnsi="仿宋" w:eastAsia="仿宋"/>
          <w:sz w:val="32"/>
          <w:szCs w:val="32"/>
        </w:rPr>
        <w:t>0</w:t>
      </w:r>
      <w:r>
        <w:rPr>
          <w:rFonts w:hint="eastAsia" w:ascii="仿宋" w:hAnsi="仿宋" w:eastAsia="仿宋"/>
          <w:sz w:val="32"/>
          <w:szCs w:val="32"/>
        </w:rPr>
        <w:t>万元，与</w:t>
      </w:r>
      <w:r>
        <w:rPr>
          <w:rFonts w:ascii="仿宋" w:hAnsi="仿宋" w:eastAsia="仿宋"/>
          <w:sz w:val="32"/>
          <w:szCs w:val="32"/>
        </w:rPr>
        <w:t>2017</w:t>
      </w:r>
      <w:r>
        <w:rPr>
          <w:rFonts w:hint="eastAsia" w:ascii="仿宋" w:hAnsi="仿宋" w:eastAsia="仿宋"/>
          <w:sz w:val="32"/>
          <w:szCs w:val="32"/>
        </w:rPr>
        <w:t>年持平，无增减变化；公务用车购置及运维费</w:t>
      </w:r>
      <w:r>
        <w:rPr>
          <w:rFonts w:ascii="仿宋" w:hAnsi="仿宋" w:eastAsia="仿宋"/>
          <w:sz w:val="32"/>
          <w:szCs w:val="32"/>
        </w:rPr>
        <w:t>1.9</w:t>
      </w:r>
      <w:r>
        <w:rPr>
          <w:rFonts w:hint="eastAsia" w:ascii="仿宋" w:hAnsi="仿宋" w:eastAsia="仿宋"/>
          <w:sz w:val="32"/>
          <w:szCs w:val="32"/>
        </w:rPr>
        <w:t>万元（其中：公务用车购置费为</w:t>
      </w:r>
      <w:r>
        <w:rPr>
          <w:rFonts w:ascii="仿宋" w:hAnsi="仿宋" w:eastAsia="仿宋"/>
          <w:sz w:val="32"/>
          <w:szCs w:val="32"/>
        </w:rPr>
        <w:t>0</w:t>
      </w:r>
      <w:r>
        <w:rPr>
          <w:rFonts w:hint="eastAsia" w:ascii="仿宋" w:hAnsi="仿宋" w:eastAsia="仿宋"/>
          <w:sz w:val="32"/>
          <w:szCs w:val="32"/>
        </w:rPr>
        <w:t>万元，公务用车运行费</w:t>
      </w:r>
      <w:r>
        <w:rPr>
          <w:rFonts w:ascii="仿宋" w:hAnsi="仿宋" w:eastAsia="仿宋"/>
          <w:sz w:val="32"/>
          <w:szCs w:val="32"/>
        </w:rPr>
        <w:t>1.9</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2017</w:t>
      </w:r>
      <w:r>
        <w:rPr>
          <w:rFonts w:hint="eastAsia" w:ascii="仿宋" w:hAnsi="仿宋" w:eastAsia="仿宋"/>
          <w:sz w:val="32"/>
          <w:szCs w:val="32"/>
        </w:rPr>
        <w:t>年持平，无增减变化；公务接待费</w:t>
      </w:r>
      <w:r>
        <w:rPr>
          <w:rFonts w:ascii="仿宋" w:hAnsi="仿宋" w:eastAsia="仿宋"/>
          <w:sz w:val="32"/>
          <w:szCs w:val="32"/>
        </w:rPr>
        <w:t>0</w:t>
      </w:r>
      <w:r>
        <w:rPr>
          <w:rFonts w:hint="eastAsia" w:ascii="仿宋" w:hAnsi="仿宋" w:eastAsia="仿宋"/>
          <w:sz w:val="32"/>
          <w:szCs w:val="32"/>
        </w:rPr>
        <w:t>万元，与</w:t>
      </w:r>
      <w:r>
        <w:rPr>
          <w:rFonts w:ascii="仿宋" w:hAnsi="仿宋" w:eastAsia="仿宋"/>
          <w:sz w:val="32"/>
          <w:szCs w:val="32"/>
        </w:rPr>
        <w:t>2017</w:t>
      </w:r>
      <w:r>
        <w:rPr>
          <w:rFonts w:hint="eastAsia" w:ascii="仿宋" w:hAnsi="仿宋" w:eastAsia="仿宋"/>
          <w:sz w:val="32"/>
          <w:szCs w:val="32"/>
        </w:rPr>
        <w:t>年持平</w:t>
      </w:r>
      <w:r>
        <w:rPr>
          <w:rFonts w:ascii="仿宋" w:hAnsi="仿宋" w:eastAsia="仿宋"/>
          <w:sz w:val="32"/>
          <w:szCs w:val="32"/>
        </w:rPr>
        <w:t>,</w:t>
      </w:r>
      <w:r>
        <w:rPr>
          <w:rFonts w:hint="eastAsia" w:ascii="仿宋" w:hAnsi="仿宋" w:eastAsia="仿宋"/>
          <w:sz w:val="32"/>
          <w:szCs w:val="32"/>
        </w:rPr>
        <w:t>无增减变化。</w:t>
      </w:r>
    </w:p>
    <w:p>
      <w:pPr>
        <w:ind w:firstLine="640"/>
        <w:rPr>
          <w:rFonts w:ascii="黑体" w:hAnsi="黑体" w:eastAsia="黑体"/>
          <w:sz w:val="32"/>
          <w:szCs w:val="32"/>
        </w:rPr>
      </w:pPr>
      <w:r>
        <w:rPr>
          <w:rFonts w:hint="eastAsia" w:ascii="黑体" w:hAnsi="黑体" w:eastAsia="黑体"/>
          <w:sz w:val="32"/>
          <w:szCs w:val="32"/>
        </w:rPr>
        <w:t>五、绩效预算信息</w:t>
      </w:r>
    </w:p>
    <w:p>
      <w:pPr>
        <w:ind w:firstLine="643" w:firstLineChars="200"/>
        <w:jc w:val="left"/>
        <w:rPr>
          <w:rFonts w:ascii="宋体"/>
          <w:b/>
          <w:sz w:val="32"/>
          <w:szCs w:val="32"/>
        </w:rPr>
      </w:pPr>
      <w:bookmarkStart w:id="0" w:name="_Toc471398463"/>
      <w:r>
        <w:rPr>
          <w:rFonts w:hint="eastAsia" w:ascii="宋体" w:hAnsi="宋体"/>
          <w:b/>
          <w:sz w:val="32"/>
          <w:szCs w:val="32"/>
        </w:rPr>
        <w:t>总体绩效目标：</w:t>
      </w:r>
    </w:p>
    <w:p>
      <w:pPr>
        <w:ind w:firstLine="640" w:firstLineChars="200"/>
        <w:jc w:val="left"/>
        <w:rPr>
          <w:rFonts w:ascii="仿宋" w:hAnsi="仿宋" w:eastAsia="仿宋"/>
          <w:sz w:val="32"/>
          <w:szCs w:val="32"/>
        </w:rPr>
      </w:pPr>
      <w:r>
        <w:rPr>
          <w:rFonts w:hint="eastAsia" w:ascii="仿宋" w:hAnsi="仿宋" w:eastAsia="仿宋"/>
          <w:sz w:val="32"/>
          <w:szCs w:val="32"/>
        </w:rPr>
        <w:t>通过不断提高教学水平、完善教学设施、优化教学布局、丰富教学手段，围绕党和国家工作大局，按照实事求是、与时俱进、艰苦奋斗、执政为民的要求，培养忠诚于中国特色社会主义事业，德才兼备的党员领导干部和理论干部，有效提高干部的理论水平、思想觉悟和执政能力。</w:t>
      </w:r>
    </w:p>
    <w:p>
      <w:pPr>
        <w:ind w:firstLine="640" w:firstLineChars="200"/>
        <w:jc w:val="left"/>
        <w:outlineLvl w:val="0"/>
        <w:rPr>
          <w:rFonts w:ascii="仿宋" w:hAnsi="仿宋" w:eastAsia="仿宋"/>
          <w:sz w:val="32"/>
          <w:szCs w:val="32"/>
        </w:rPr>
      </w:pPr>
      <w:r>
        <w:rPr>
          <w:rFonts w:hint="eastAsia" w:ascii="仿宋" w:hAnsi="仿宋" w:eastAsia="仿宋"/>
          <w:sz w:val="32"/>
          <w:szCs w:val="32"/>
        </w:rPr>
        <w:t>部门职责及工作活动绩效目标指标：</w:t>
      </w:r>
    </w:p>
    <w:p>
      <w:pPr>
        <w:autoSpaceDE w:val="0"/>
        <w:autoSpaceDN w:val="0"/>
        <w:adjustRightInd w:val="0"/>
        <w:ind w:left="198" w:firstLine="640" w:firstLineChars="200"/>
        <w:jc w:val="left"/>
        <w:rPr>
          <w:rFonts w:ascii="仿宋" w:hAnsi="仿宋" w:eastAsia="仿宋"/>
          <w:sz w:val="32"/>
          <w:szCs w:val="32"/>
        </w:rPr>
      </w:pPr>
    </w:p>
    <w:p>
      <w:pPr>
        <w:jc w:val="center"/>
        <w:outlineLvl w:val="0"/>
        <w:rPr>
          <w:rFonts w:ascii="方正小标宋_GBK" w:hAnsi="Times New Roman" w:eastAsia="方正小标宋_GBK"/>
          <w:sz w:val="32"/>
          <w:szCs w:val="24"/>
        </w:rPr>
      </w:pPr>
    </w:p>
    <w:p>
      <w:pPr>
        <w:jc w:val="center"/>
        <w:outlineLvl w:val="0"/>
        <w:rPr>
          <w:rFonts w:ascii="方正小标宋_GBK" w:eastAsia="方正小标宋_GBK"/>
          <w:sz w:val="32"/>
        </w:rPr>
      </w:pPr>
      <w:bookmarkStart w:id="1" w:name="_Toc478647361"/>
      <w:r>
        <w:rPr>
          <w:rFonts w:hint="eastAsia" w:ascii="宋体" w:hAnsi="宋体" w:cs="宋体"/>
          <w:sz w:val="32"/>
        </w:rPr>
        <w:t>部门职责</w:t>
      </w:r>
      <w:r>
        <w:rPr>
          <w:rFonts w:ascii="方正小标宋_GBK" w:eastAsia="方正小标宋_GBK"/>
          <w:sz w:val="32"/>
        </w:rPr>
        <w:t>-</w:t>
      </w:r>
      <w:r>
        <w:rPr>
          <w:rFonts w:hint="eastAsia" w:ascii="宋体" w:hAnsi="宋体" w:cs="宋体"/>
          <w:sz w:val="32"/>
        </w:rPr>
        <w:t>工作活动绩效目标</w:t>
      </w:r>
      <w:bookmarkEnd w:id="1"/>
    </w:p>
    <w:tbl>
      <w:tblPr>
        <w:tblStyle w:val="8"/>
        <w:tblpPr w:leftFromText="180" w:rightFromText="180" w:vertAnchor="text" w:tblpY="1"/>
        <w:tblOverlap w:val="never"/>
        <w:tblW w:w="12840" w:type="dxa"/>
        <w:tblInd w:w="72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67"/>
        <w:gridCol w:w="1075"/>
        <w:gridCol w:w="2502"/>
        <w:gridCol w:w="2502"/>
        <w:gridCol w:w="1891"/>
        <w:gridCol w:w="717"/>
        <w:gridCol w:w="685"/>
        <w:gridCol w:w="714"/>
        <w:gridCol w:w="7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70" w:hRule="atLeast"/>
          <w:tblHeader/>
        </w:trPr>
        <w:tc>
          <w:tcPr>
            <w:tcW w:w="9937"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281</w:t>
            </w:r>
            <w:r>
              <w:rPr>
                <w:rFonts w:hint="eastAsia" w:ascii="宋体" w:hAnsi="宋体" w:cs="宋体"/>
                <w:sz w:val="24"/>
              </w:rPr>
              <w:t>县党校</w:t>
            </w:r>
          </w:p>
        </w:tc>
        <w:tc>
          <w:tcPr>
            <w:tcW w:w="2903"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宋体" w:hAnsi="宋体" w:cs="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70" w:hRule="atLeast"/>
          <w:tblHeader/>
        </w:trPr>
        <w:tc>
          <w:tcPr>
            <w:tcW w:w="1967" w:type="dxa"/>
            <w:vMerge w:val="restart"/>
            <w:vAlign w:val="center"/>
          </w:tcPr>
          <w:p>
            <w:pPr>
              <w:spacing w:line="300" w:lineRule="exact"/>
              <w:jc w:val="center"/>
              <w:rPr>
                <w:rFonts w:ascii="方正书宋_GBK" w:eastAsia="方正书宋_GBK"/>
                <w:b/>
              </w:rPr>
            </w:pPr>
            <w:r>
              <w:rPr>
                <w:rFonts w:hint="eastAsia" w:ascii="宋体" w:hAnsi="宋体" w:cs="宋体"/>
                <w:b/>
              </w:rPr>
              <w:t>职责活动</w:t>
            </w:r>
          </w:p>
        </w:tc>
        <w:tc>
          <w:tcPr>
            <w:tcW w:w="1075" w:type="dxa"/>
            <w:vMerge w:val="restart"/>
            <w:vAlign w:val="center"/>
          </w:tcPr>
          <w:p>
            <w:pPr>
              <w:spacing w:line="300" w:lineRule="exact"/>
              <w:jc w:val="center"/>
              <w:rPr>
                <w:rFonts w:ascii="方正书宋_GBK" w:eastAsia="方正书宋_GBK"/>
                <w:b/>
              </w:rPr>
            </w:pPr>
            <w:r>
              <w:rPr>
                <w:rFonts w:hint="eastAsia" w:ascii="宋体" w:hAnsi="宋体" w:cs="宋体"/>
                <w:b/>
              </w:rPr>
              <w:t>年度预算数</w:t>
            </w:r>
          </w:p>
        </w:tc>
        <w:tc>
          <w:tcPr>
            <w:tcW w:w="2502" w:type="dxa"/>
            <w:vMerge w:val="restart"/>
            <w:vAlign w:val="center"/>
          </w:tcPr>
          <w:p>
            <w:pPr>
              <w:spacing w:line="300" w:lineRule="exact"/>
              <w:jc w:val="center"/>
              <w:rPr>
                <w:rFonts w:ascii="方正书宋_GBK" w:eastAsia="方正书宋_GBK"/>
                <w:b/>
              </w:rPr>
            </w:pPr>
            <w:r>
              <w:rPr>
                <w:rFonts w:hint="eastAsia" w:ascii="宋体" w:hAnsi="宋体" w:cs="宋体"/>
                <w:b/>
              </w:rPr>
              <w:t>内容描述</w:t>
            </w:r>
          </w:p>
        </w:tc>
        <w:tc>
          <w:tcPr>
            <w:tcW w:w="2502" w:type="dxa"/>
            <w:vMerge w:val="restart"/>
            <w:vAlign w:val="center"/>
          </w:tcPr>
          <w:p>
            <w:pPr>
              <w:spacing w:line="300" w:lineRule="exact"/>
              <w:jc w:val="center"/>
              <w:rPr>
                <w:rFonts w:ascii="方正书宋_GBK" w:eastAsia="方正书宋_GBK"/>
                <w:b/>
              </w:rPr>
            </w:pPr>
            <w:r>
              <w:rPr>
                <w:rFonts w:hint="eastAsia" w:ascii="宋体" w:hAnsi="宋体" w:cs="宋体"/>
                <w:b/>
              </w:rPr>
              <w:t>绩效目标</w:t>
            </w:r>
          </w:p>
        </w:tc>
        <w:tc>
          <w:tcPr>
            <w:tcW w:w="1891" w:type="dxa"/>
            <w:vMerge w:val="restart"/>
            <w:vAlign w:val="center"/>
          </w:tcPr>
          <w:p>
            <w:pPr>
              <w:spacing w:line="300" w:lineRule="exact"/>
              <w:jc w:val="center"/>
              <w:rPr>
                <w:rFonts w:ascii="方正书宋_GBK" w:eastAsia="方正书宋_GBK"/>
                <w:b/>
              </w:rPr>
            </w:pPr>
            <w:r>
              <w:rPr>
                <w:rFonts w:hint="eastAsia" w:ascii="宋体" w:hAnsi="宋体" w:cs="宋体"/>
                <w:b/>
              </w:rPr>
              <w:t>绩效指标</w:t>
            </w:r>
          </w:p>
        </w:tc>
        <w:tc>
          <w:tcPr>
            <w:tcW w:w="2903" w:type="dxa"/>
            <w:gridSpan w:val="4"/>
            <w:vAlign w:val="center"/>
          </w:tcPr>
          <w:p>
            <w:pPr>
              <w:spacing w:line="300" w:lineRule="exact"/>
              <w:jc w:val="center"/>
              <w:rPr>
                <w:rFonts w:ascii="方正书宋_GBK" w:eastAsia="方正书宋_GBK"/>
                <w:b/>
              </w:rPr>
            </w:pPr>
            <w:r>
              <w:rPr>
                <w:rFonts w:hint="eastAsia" w:ascii="宋体" w:hAnsi="宋体" w:cs="宋体"/>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70" w:hRule="atLeast"/>
          <w:tblHeader/>
        </w:trPr>
        <w:tc>
          <w:tcPr>
            <w:tcW w:w="1967" w:type="dxa"/>
            <w:vMerge w:val="continue"/>
            <w:vAlign w:val="center"/>
          </w:tcPr>
          <w:p>
            <w:pPr>
              <w:spacing w:line="300" w:lineRule="exact"/>
              <w:jc w:val="left"/>
              <w:outlineLvl w:val="0"/>
            </w:pPr>
          </w:p>
        </w:tc>
        <w:tc>
          <w:tcPr>
            <w:tcW w:w="1075" w:type="dxa"/>
            <w:vMerge w:val="continue"/>
            <w:vAlign w:val="center"/>
          </w:tcPr>
          <w:p>
            <w:pPr>
              <w:spacing w:line="300" w:lineRule="exact"/>
              <w:jc w:val="left"/>
              <w:outlineLvl w:val="0"/>
            </w:pPr>
          </w:p>
        </w:tc>
        <w:tc>
          <w:tcPr>
            <w:tcW w:w="2502" w:type="dxa"/>
            <w:vMerge w:val="continue"/>
            <w:vAlign w:val="center"/>
          </w:tcPr>
          <w:p>
            <w:pPr>
              <w:spacing w:line="300" w:lineRule="exact"/>
              <w:jc w:val="left"/>
              <w:outlineLvl w:val="0"/>
            </w:pPr>
          </w:p>
        </w:tc>
        <w:tc>
          <w:tcPr>
            <w:tcW w:w="2502" w:type="dxa"/>
            <w:vMerge w:val="continue"/>
            <w:vAlign w:val="center"/>
          </w:tcPr>
          <w:p>
            <w:pPr>
              <w:spacing w:line="300" w:lineRule="exact"/>
              <w:jc w:val="left"/>
              <w:outlineLvl w:val="0"/>
            </w:pPr>
          </w:p>
        </w:tc>
        <w:tc>
          <w:tcPr>
            <w:tcW w:w="1891" w:type="dxa"/>
            <w:vMerge w:val="continue"/>
            <w:vAlign w:val="center"/>
          </w:tcPr>
          <w:p>
            <w:pPr>
              <w:spacing w:line="300" w:lineRule="exact"/>
              <w:jc w:val="left"/>
              <w:outlineLvl w:val="0"/>
            </w:pPr>
          </w:p>
        </w:tc>
        <w:tc>
          <w:tcPr>
            <w:tcW w:w="717" w:type="dxa"/>
            <w:vAlign w:val="center"/>
          </w:tcPr>
          <w:p>
            <w:pPr>
              <w:spacing w:line="300" w:lineRule="exact"/>
              <w:jc w:val="center"/>
              <w:rPr>
                <w:rFonts w:ascii="方正书宋_GBK" w:eastAsia="方正书宋_GBK"/>
                <w:b/>
              </w:rPr>
            </w:pPr>
            <w:r>
              <w:rPr>
                <w:rFonts w:hint="eastAsia" w:ascii="宋体" w:hAnsi="宋体" w:cs="宋体"/>
                <w:b/>
              </w:rPr>
              <w:t>优</w:t>
            </w:r>
          </w:p>
        </w:tc>
        <w:tc>
          <w:tcPr>
            <w:tcW w:w="685" w:type="dxa"/>
            <w:vAlign w:val="center"/>
          </w:tcPr>
          <w:p>
            <w:pPr>
              <w:spacing w:line="300" w:lineRule="exact"/>
              <w:jc w:val="center"/>
              <w:rPr>
                <w:rFonts w:ascii="方正书宋_GBK" w:eastAsia="方正书宋_GBK"/>
                <w:b/>
              </w:rPr>
            </w:pPr>
            <w:r>
              <w:rPr>
                <w:rFonts w:hint="eastAsia" w:ascii="宋体" w:hAnsi="宋体" w:cs="宋体"/>
                <w:b/>
              </w:rPr>
              <w:t>良</w:t>
            </w:r>
          </w:p>
        </w:tc>
        <w:tc>
          <w:tcPr>
            <w:tcW w:w="714" w:type="dxa"/>
            <w:vAlign w:val="center"/>
          </w:tcPr>
          <w:p>
            <w:pPr>
              <w:spacing w:line="300" w:lineRule="exact"/>
              <w:jc w:val="center"/>
              <w:rPr>
                <w:rFonts w:ascii="方正书宋_GBK" w:eastAsia="方正书宋_GBK"/>
                <w:b/>
              </w:rPr>
            </w:pPr>
            <w:r>
              <w:rPr>
                <w:rFonts w:hint="eastAsia" w:ascii="宋体" w:hAnsi="宋体" w:cs="宋体"/>
                <w:b/>
              </w:rPr>
              <w:t>中</w:t>
            </w:r>
          </w:p>
        </w:tc>
        <w:tc>
          <w:tcPr>
            <w:tcW w:w="787" w:type="dxa"/>
            <w:vAlign w:val="center"/>
          </w:tcPr>
          <w:p>
            <w:pPr>
              <w:spacing w:line="300" w:lineRule="exact"/>
              <w:jc w:val="center"/>
              <w:rPr>
                <w:rFonts w:ascii="方正书宋_GBK" w:eastAsia="方正书宋_GBK"/>
                <w:b/>
              </w:rPr>
            </w:pPr>
            <w:r>
              <w:rPr>
                <w:rFonts w:hint="eastAsia" w:ascii="宋体" w:hAnsi="宋体" w:cs="宋体"/>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948" w:hRule="atLeast"/>
        </w:trPr>
        <w:tc>
          <w:tcPr>
            <w:tcW w:w="1967" w:type="dxa"/>
            <w:vAlign w:val="center"/>
          </w:tcPr>
          <w:p>
            <w:pPr>
              <w:spacing w:line="300" w:lineRule="exact"/>
              <w:jc w:val="left"/>
              <w:rPr>
                <w:rFonts w:ascii="方正书宋_GBK" w:eastAsia="方正书宋_GBK"/>
                <w:b/>
              </w:rPr>
            </w:pPr>
            <w:r>
              <w:rPr>
                <w:rFonts w:hint="eastAsia" w:ascii="宋体" w:hAnsi="宋体" w:cs="宋体"/>
                <w:b/>
              </w:rPr>
              <w:t>培训教育</w:t>
            </w:r>
          </w:p>
        </w:tc>
        <w:tc>
          <w:tcPr>
            <w:tcW w:w="1075" w:type="dxa"/>
            <w:vAlign w:val="center"/>
          </w:tcPr>
          <w:p>
            <w:pPr>
              <w:spacing w:line="300" w:lineRule="exact"/>
              <w:jc w:val="left"/>
              <w:rPr>
                <w:rFonts w:ascii="方正书宋_GBK" w:eastAsia="方正书宋_GBK"/>
              </w:rPr>
            </w:pPr>
            <w:r>
              <w:rPr>
                <w:rFonts w:ascii="方正书宋_GBK" w:eastAsia="方正书宋_GBK"/>
              </w:rPr>
              <w:t>64</w:t>
            </w:r>
          </w:p>
        </w:tc>
        <w:tc>
          <w:tcPr>
            <w:tcW w:w="2502" w:type="dxa"/>
            <w:vAlign w:val="center"/>
          </w:tcPr>
          <w:p>
            <w:pPr>
              <w:spacing w:line="300" w:lineRule="exact"/>
              <w:jc w:val="left"/>
              <w:rPr>
                <w:rFonts w:ascii="方正书宋_GBK" w:eastAsia="方正书宋_GBK"/>
              </w:rPr>
            </w:pPr>
            <w:r>
              <w:rPr>
                <w:rFonts w:hint="eastAsia" w:ascii="宋体" w:hAnsi="宋体" w:cs="宋体"/>
              </w:rPr>
              <w:t>根据县委、县政府有关要求，有计划地轮训和培训全县各级党政领导干部和理论骨干，负责对学员在党校学习期间的表现进行考核</w:t>
            </w:r>
          </w:p>
        </w:tc>
        <w:tc>
          <w:tcPr>
            <w:tcW w:w="2502" w:type="dxa"/>
            <w:vAlign w:val="center"/>
          </w:tcPr>
          <w:p>
            <w:pPr>
              <w:spacing w:line="300" w:lineRule="exact"/>
              <w:jc w:val="left"/>
              <w:rPr>
                <w:rFonts w:ascii="方正书宋_GBK" w:eastAsia="方正书宋_GBK"/>
              </w:rPr>
            </w:pPr>
            <w:r>
              <w:rPr>
                <w:rFonts w:hint="eastAsia" w:ascii="宋体" w:hAnsi="宋体" w:cs="宋体"/>
              </w:rPr>
              <w:t>通过不断提高教学水平、完善教学设施、优化教学布局、丰富教学手段，围绕党和国家工作大局，按照实事求是、与时俱进、艰苦奋斗、执政为民的要求，培养忠诚于中国特色社会主义事业、德才兼备的党员领导干部和理论干部，有效提高干部的政策理论水平、思想觉悟和执政能力</w:t>
            </w:r>
          </w:p>
        </w:tc>
        <w:tc>
          <w:tcPr>
            <w:tcW w:w="1891" w:type="dxa"/>
            <w:vAlign w:val="center"/>
          </w:tcPr>
          <w:p>
            <w:pPr>
              <w:spacing w:line="300" w:lineRule="exact"/>
              <w:jc w:val="left"/>
              <w:rPr>
                <w:rFonts w:ascii="方正书宋_GBK" w:eastAsia="方正书宋_GBK"/>
              </w:rPr>
            </w:pPr>
          </w:p>
        </w:tc>
        <w:tc>
          <w:tcPr>
            <w:tcW w:w="717" w:type="dxa"/>
            <w:vAlign w:val="center"/>
          </w:tcPr>
          <w:p>
            <w:pPr>
              <w:spacing w:line="300" w:lineRule="exact"/>
              <w:jc w:val="center"/>
              <w:rPr>
                <w:rFonts w:ascii="方正书宋_GBK" w:eastAsia="方正书宋_GBK"/>
              </w:rPr>
            </w:pPr>
          </w:p>
        </w:tc>
        <w:tc>
          <w:tcPr>
            <w:tcW w:w="685" w:type="dxa"/>
            <w:vAlign w:val="center"/>
          </w:tcPr>
          <w:p>
            <w:pPr>
              <w:spacing w:line="300" w:lineRule="exact"/>
              <w:jc w:val="center"/>
              <w:rPr>
                <w:rFonts w:ascii="方正书宋_GBK" w:eastAsia="方正书宋_GBK"/>
              </w:rPr>
            </w:pPr>
          </w:p>
        </w:tc>
        <w:tc>
          <w:tcPr>
            <w:tcW w:w="714" w:type="dxa"/>
            <w:vAlign w:val="center"/>
          </w:tcPr>
          <w:p>
            <w:pPr>
              <w:spacing w:line="300" w:lineRule="exact"/>
              <w:jc w:val="center"/>
              <w:rPr>
                <w:rFonts w:ascii="方正书宋_GBK" w:eastAsia="方正书宋_GBK"/>
              </w:rPr>
            </w:pPr>
          </w:p>
        </w:tc>
        <w:tc>
          <w:tcPr>
            <w:tcW w:w="78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32" w:hRule="atLeast"/>
        </w:trPr>
        <w:tc>
          <w:tcPr>
            <w:tcW w:w="1967" w:type="dxa"/>
            <w:vMerge w:val="restart"/>
            <w:vAlign w:val="center"/>
          </w:tcPr>
          <w:p>
            <w:pPr>
              <w:spacing w:line="300" w:lineRule="exact"/>
              <w:jc w:val="left"/>
              <w:rPr>
                <w:rFonts w:ascii="方正书宋_GBK" w:eastAsia="方正书宋_GBK"/>
                <w:b/>
              </w:rPr>
            </w:pPr>
            <w:r>
              <w:rPr>
                <w:rFonts w:hint="eastAsia" w:ascii="宋体" w:hAnsi="宋体" w:cs="宋体"/>
                <w:b/>
              </w:rPr>
              <w:t>　　组织培训班</w:t>
            </w:r>
          </w:p>
        </w:tc>
        <w:tc>
          <w:tcPr>
            <w:tcW w:w="1075" w:type="dxa"/>
            <w:vMerge w:val="restart"/>
            <w:vAlign w:val="center"/>
          </w:tcPr>
          <w:p>
            <w:pPr>
              <w:spacing w:line="300" w:lineRule="exact"/>
              <w:jc w:val="left"/>
              <w:rPr>
                <w:rFonts w:ascii="方正书宋_GBK" w:eastAsia="方正书宋_GBK"/>
              </w:rPr>
            </w:pPr>
            <w:r>
              <w:rPr>
                <w:rFonts w:ascii="方正书宋_GBK" w:eastAsia="方正书宋_GBK"/>
              </w:rPr>
              <w:t>52</w:t>
            </w:r>
          </w:p>
        </w:tc>
        <w:tc>
          <w:tcPr>
            <w:tcW w:w="2502" w:type="dxa"/>
            <w:vMerge w:val="restart"/>
            <w:vAlign w:val="center"/>
          </w:tcPr>
          <w:p>
            <w:pPr>
              <w:spacing w:line="300" w:lineRule="exact"/>
              <w:jc w:val="left"/>
              <w:rPr>
                <w:rFonts w:ascii="方正书宋_GBK" w:eastAsia="方正书宋_GBK"/>
              </w:rPr>
            </w:pPr>
            <w:r>
              <w:rPr>
                <w:rFonts w:hint="eastAsia" w:ascii="宋体" w:hAnsi="宋体" w:cs="宋体"/>
              </w:rPr>
              <w:t>根据县委组织部干训计划，培训轮训领导干部和理论骨干；受县委、县政府及有关职能部门委托举办各种专题培训、研讨班</w:t>
            </w:r>
          </w:p>
        </w:tc>
        <w:tc>
          <w:tcPr>
            <w:tcW w:w="2502" w:type="dxa"/>
            <w:vMerge w:val="restart"/>
            <w:vAlign w:val="center"/>
          </w:tcPr>
          <w:p>
            <w:pPr>
              <w:spacing w:line="300" w:lineRule="exact"/>
              <w:jc w:val="left"/>
              <w:rPr>
                <w:rFonts w:ascii="方正书宋_GBK" w:eastAsia="方正书宋_GBK"/>
              </w:rPr>
            </w:pPr>
            <w:r>
              <w:rPr>
                <w:rFonts w:hint="eastAsia" w:ascii="宋体" w:hAnsi="宋体" w:cs="宋体"/>
              </w:rPr>
              <w:t>通过外请专家、学者授课，开拓学员思路；通过开展现场教学、情景模拟教学、案例教学、特色教学，有效提高培训质量，提高学员解决实际问题的能力</w:t>
            </w:r>
          </w:p>
        </w:tc>
        <w:tc>
          <w:tcPr>
            <w:tcW w:w="1891" w:type="dxa"/>
            <w:vAlign w:val="center"/>
          </w:tcPr>
          <w:p>
            <w:pPr>
              <w:spacing w:line="300" w:lineRule="exact"/>
              <w:jc w:val="left"/>
              <w:rPr>
                <w:rFonts w:ascii="方正书宋_GBK" w:eastAsia="方正书宋_GBK"/>
              </w:rPr>
            </w:pPr>
            <w:r>
              <w:rPr>
                <w:rFonts w:hint="eastAsia" w:ascii="宋体" w:hAnsi="宋体" w:cs="宋体"/>
              </w:rPr>
              <w:t>学员教学满意率</w:t>
            </w:r>
            <w:r>
              <w:rPr>
                <w:rFonts w:ascii="方正书宋_GBK" w:eastAsia="方正书宋_GBK"/>
              </w:rPr>
              <w:t>%</w:t>
            </w:r>
          </w:p>
        </w:tc>
        <w:tc>
          <w:tcPr>
            <w:tcW w:w="717" w:type="dxa"/>
            <w:vAlign w:val="center"/>
          </w:tcPr>
          <w:p>
            <w:pPr>
              <w:spacing w:line="300" w:lineRule="exact"/>
              <w:jc w:val="center"/>
              <w:rPr>
                <w:rFonts w:ascii="方正书宋_GBK" w:eastAsia="方正书宋_GBK"/>
              </w:rPr>
            </w:pPr>
            <w:r>
              <w:rPr>
                <w:rFonts w:ascii="方正书宋_GBK" w:eastAsia="方正书宋_GBK"/>
              </w:rPr>
              <w:t>95%</w:t>
            </w:r>
          </w:p>
        </w:tc>
        <w:tc>
          <w:tcPr>
            <w:tcW w:w="685" w:type="dxa"/>
            <w:vAlign w:val="center"/>
          </w:tcPr>
          <w:p>
            <w:pPr>
              <w:spacing w:line="300" w:lineRule="exact"/>
              <w:jc w:val="center"/>
              <w:rPr>
                <w:rFonts w:ascii="方正书宋_GBK" w:eastAsia="方正书宋_GBK"/>
              </w:rPr>
            </w:pPr>
            <w:r>
              <w:rPr>
                <w:rFonts w:ascii="方正书宋_GBK" w:eastAsia="方正书宋_GBK"/>
              </w:rPr>
              <w:t>85%</w:t>
            </w:r>
          </w:p>
        </w:tc>
        <w:tc>
          <w:tcPr>
            <w:tcW w:w="714" w:type="dxa"/>
            <w:vAlign w:val="center"/>
          </w:tcPr>
          <w:p>
            <w:pPr>
              <w:spacing w:line="300" w:lineRule="exact"/>
              <w:jc w:val="center"/>
              <w:rPr>
                <w:rFonts w:ascii="方正书宋_GBK" w:eastAsia="方正书宋_GBK"/>
              </w:rPr>
            </w:pPr>
            <w:r>
              <w:rPr>
                <w:rFonts w:ascii="方正书宋_GBK" w:eastAsia="方正书宋_GBK"/>
              </w:rPr>
              <w:t>70%</w:t>
            </w:r>
          </w:p>
        </w:tc>
        <w:tc>
          <w:tcPr>
            <w:tcW w:w="787" w:type="dxa"/>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08" w:hRule="atLeast"/>
        </w:trPr>
        <w:tc>
          <w:tcPr>
            <w:tcW w:w="1967" w:type="dxa"/>
            <w:vMerge w:val="continue"/>
            <w:vAlign w:val="center"/>
          </w:tcPr>
          <w:p>
            <w:pPr>
              <w:spacing w:line="300" w:lineRule="exact"/>
              <w:jc w:val="left"/>
              <w:rPr>
                <w:rFonts w:ascii="方正书宋_GBK" w:eastAsia="方正书宋_GBK"/>
                <w:b/>
              </w:rPr>
            </w:pPr>
          </w:p>
        </w:tc>
        <w:tc>
          <w:tcPr>
            <w:tcW w:w="1075" w:type="dxa"/>
            <w:vMerge w:val="continue"/>
            <w:vAlign w:val="center"/>
          </w:tcPr>
          <w:p>
            <w:pPr>
              <w:spacing w:line="300" w:lineRule="exact"/>
              <w:jc w:val="left"/>
              <w:rPr>
                <w:rFonts w:ascii="方正书宋_GBK" w:eastAsia="方正书宋_GBK"/>
              </w:rPr>
            </w:pPr>
          </w:p>
        </w:tc>
        <w:tc>
          <w:tcPr>
            <w:tcW w:w="2502" w:type="dxa"/>
            <w:vMerge w:val="continue"/>
            <w:vAlign w:val="center"/>
          </w:tcPr>
          <w:p>
            <w:pPr>
              <w:spacing w:line="300" w:lineRule="exact"/>
              <w:jc w:val="left"/>
              <w:rPr>
                <w:rFonts w:ascii="方正书宋_GBK" w:eastAsia="方正书宋_GBK"/>
              </w:rPr>
            </w:pPr>
          </w:p>
        </w:tc>
        <w:tc>
          <w:tcPr>
            <w:tcW w:w="2502" w:type="dxa"/>
            <w:vMerge w:val="continue"/>
            <w:vAlign w:val="center"/>
          </w:tcPr>
          <w:p>
            <w:pPr>
              <w:spacing w:line="300" w:lineRule="exact"/>
              <w:jc w:val="left"/>
              <w:rPr>
                <w:rFonts w:ascii="方正书宋_GBK" w:eastAsia="方正书宋_GBK"/>
              </w:rPr>
            </w:pPr>
          </w:p>
        </w:tc>
        <w:tc>
          <w:tcPr>
            <w:tcW w:w="1891" w:type="dxa"/>
            <w:vAlign w:val="center"/>
          </w:tcPr>
          <w:p>
            <w:pPr>
              <w:spacing w:line="300" w:lineRule="exact"/>
              <w:jc w:val="left"/>
              <w:rPr>
                <w:rFonts w:ascii="方正书宋_GBK" w:eastAsia="方正书宋_GBK"/>
              </w:rPr>
            </w:pPr>
            <w:r>
              <w:rPr>
                <w:rFonts w:hint="eastAsia" w:ascii="宋体" w:hAnsi="宋体" w:cs="宋体"/>
              </w:rPr>
              <w:t>培训任务完成率</w:t>
            </w:r>
            <w:r>
              <w:rPr>
                <w:rFonts w:ascii="方正书宋_GBK" w:eastAsia="方正书宋_GBK"/>
              </w:rPr>
              <w:t>%</w:t>
            </w:r>
          </w:p>
        </w:tc>
        <w:tc>
          <w:tcPr>
            <w:tcW w:w="717" w:type="dxa"/>
            <w:vAlign w:val="center"/>
          </w:tcPr>
          <w:p>
            <w:pPr>
              <w:spacing w:line="300" w:lineRule="exact"/>
              <w:jc w:val="center"/>
              <w:rPr>
                <w:rFonts w:ascii="方正书宋_GBK" w:eastAsia="方正书宋_GBK"/>
              </w:rPr>
            </w:pPr>
            <w:r>
              <w:rPr>
                <w:rFonts w:ascii="方正书宋_GBK" w:eastAsia="方正书宋_GBK"/>
              </w:rPr>
              <w:t>95%</w:t>
            </w:r>
          </w:p>
        </w:tc>
        <w:tc>
          <w:tcPr>
            <w:tcW w:w="685" w:type="dxa"/>
            <w:vAlign w:val="center"/>
          </w:tcPr>
          <w:p>
            <w:pPr>
              <w:spacing w:line="300" w:lineRule="exact"/>
              <w:jc w:val="center"/>
              <w:rPr>
                <w:rFonts w:ascii="方正书宋_GBK" w:eastAsia="方正书宋_GBK"/>
              </w:rPr>
            </w:pPr>
            <w:r>
              <w:rPr>
                <w:rFonts w:ascii="方正书宋_GBK" w:eastAsia="方正书宋_GBK"/>
              </w:rPr>
              <w:t>85%</w:t>
            </w:r>
          </w:p>
        </w:tc>
        <w:tc>
          <w:tcPr>
            <w:tcW w:w="714" w:type="dxa"/>
            <w:vAlign w:val="center"/>
          </w:tcPr>
          <w:p>
            <w:pPr>
              <w:spacing w:line="300" w:lineRule="exact"/>
              <w:jc w:val="center"/>
              <w:rPr>
                <w:rFonts w:ascii="方正书宋_GBK" w:eastAsia="方正书宋_GBK"/>
              </w:rPr>
            </w:pPr>
            <w:r>
              <w:rPr>
                <w:rFonts w:ascii="方正书宋_GBK" w:eastAsia="方正书宋_GBK"/>
              </w:rPr>
              <w:t>70%</w:t>
            </w:r>
          </w:p>
        </w:tc>
        <w:tc>
          <w:tcPr>
            <w:tcW w:w="787" w:type="dxa"/>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28" w:hRule="atLeast"/>
        </w:trPr>
        <w:tc>
          <w:tcPr>
            <w:tcW w:w="1967" w:type="dxa"/>
            <w:vAlign w:val="center"/>
          </w:tcPr>
          <w:p>
            <w:pPr>
              <w:spacing w:line="300" w:lineRule="exact"/>
              <w:jc w:val="left"/>
              <w:rPr>
                <w:rFonts w:ascii="方正书宋_GBK" w:eastAsia="方正书宋_GBK"/>
                <w:b/>
              </w:rPr>
            </w:pPr>
            <w:r>
              <w:rPr>
                <w:rFonts w:hint="eastAsia" w:ascii="宋体" w:hAnsi="宋体" w:cs="宋体"/>
                <w:b/>
              </w:rPr>
              <w:t>　师资与学科建设</w:t>
            </w:r>
          </w:p>
        </w:tc>
        <w:tc>
          <w:tcPr>
            <w:tcW w:w="1075" w:type="dxa"/>
            <w:vAlign w:val="center"/>
          </w:tcPr>
          <w:p>
            <w:pPr>
              <w:spacing w:line="300" w:lineRule="exact"/>
              <w:jc w:val="left"/>
              <w:rPr>
                <w:rFonts w:ascii="方正书宋_GBK" w:eastAsia="方正书宋_GBK"/>
              </w:rPr>
            </w:pPr>
          </w:p>
        </w:tc>
        <w:tc>
          <w:tcPr>
            <w:tcW w:w="2502" w:type="dxa"/>
            <w:vAlign w:val="center"/>
          </w:tcPr>
          <w:p>
            <w:pPr>
              <w:spacing w:line="300" w:lineRule="exact"/>
              <w:jc w:val="left"/>
              <w:rPr>
                <w:rFonts w:ascii="方正书宋_GBK" w:eastAsia="方正书宋_GBK"/>
              </w:rPr>
            </w:pPr>
            <w:r>
              <w:rPr>
                <w:rFonts w:hint="eastAsia" w:ascii="宋体" w:hAnsi="宋体" w:cs="宋体"/>
              </w:rPr>
              <w:t>加强学科建和学科培育，形成有党校特色的优势学科和重点学科和教学基地</w:t>
            </w:r>
          </w:p>
        </w:tc>
        <w:tc>
          <w:tcPr>
            <w:tcW w:w="2502" w:type="dxa"/>
            <w:vAlign w:val="center"/>
          </w:tcPr>
          <w:p>
            <w:pPr>
              <w:spacing w:line="300" w:lineRule="exact"/>
              <w:jc w:val="left"/>
              <w:rPr>
                <w:rFonts w:ascii="方正书宋_GBK" w:eastAsia="方正书宋_GBK"/>
              </w:rPr>
            </w:pPr>
            <w:r>
              <w:rPr>
                <w:rFonts w:hint="eastAsia" w:ascii="宋体" w:hAnsi="宋体" w:cs="宋体"/>
              </w:rPr>
              <w:t>通过重点培育和建设，形成几门有党校特色的优势学科和重点学科</w:t>
            </w:r>
          </w:p>
        </w:tc>
        <w:tc>
          <w:tcPr>
            <w:tcW w:w="1891" w:type="dxa"/>
            <w:vAlign w:val="center"/>
          </w:tcPr>
          <w:p>
            <w:pPr>
              <w:spacing w:line="300" w:lineRule="exact"/>
              <w:jc w:val="left"/>
              <w:rPr>
                <w:rFonts w:ascii="方正书宋_GBK" w:eastAsia="方正书宋_GBK"/>
              </w:rPr>
            </w:pPr>
            <w:r>
              <w:rPr>
                <w:rFonts w:hint="eastAsia" w:ascii="宋体" w:hAnsi="宋体" w:cs="宋体"/>
              </w:rPr>
              <w:t>建设几门党校特色的优势学科</w:t>
            </w:r>
          </w:p>
        </w:tc>
        <w:tc>
          <w:tcPr>
            <w:tcW w:w="717" w:type="dxa"/>
            <w:vAlign w:val="center"/>
          </w:tcPr>
          <w:p>
            <w:pPr>
              <w:spacing w:line="300" w:lineRule="exact"/>
              <w:jc w:val="center"/>
              <w:rPr>
                <w:rFonts w:ascii="方正书宋_GBK" w:eastAsia="方正书宋_GBK"/>
              </w:rPr>
            </w:pPr>
            <w:r>
              <w:rPr>
                <w:rFonts w:ascii="方正书宋_GBK" w:eastAsia="方正书宋_GBK"/>
              </w:rPr>
              <w:t>95%</w:t>
            </w:r>
          </w:p>
        </w:tc>
        <w:tc>
          <w:tcPr>
            <w:tcW w:w="685" w:type="dxa"/>
            <w:vAlign w:val="center"/>
          </w:tcPr>
          <w:p>
            <w:pPr>
              <w:spacing w:line="300" w:lineRule="exact"/>
              <w:jc w:val="center"/>
              <w:rPr>
                <w:rFonts w:ascii="方正书宋_GBK" w:eastAsia="方正书宋_GBK"/>
              </w:rPr>
            </w:pPr>
            <w:r>
              <w:rPr>
                <w:rFonts w:ascii="方正书宋_GBK" w:eastAsia="方正书宋_GBK"/>
              </w:rPr>
              <w:t>85%</w:t>
            </w:r>
          </w:p>
        </w:tc>
        <w:tc>
          <w:tcPr>
            <w:tcW w:w="714" w:type="dxa"/>
            <w:vAlign w:val="center"/>
          </w:tcPr>
          <w:p>
            <w:pPr>
              <w:spacing w:line="300" w:lineRule="exact"/>
              <w:jc w:val="center"/>
              <w:rPr>
                <w:rFonts w:ascii="方正书宋_GBK" w:eastAsia="方正书宋_GBK"/>
              </w:rPr>
            </w:pPr>
            <w:r>
              <w:rPr>
                <w:rFonts w:ascii="方正书宋_GBK" w:eastAsia="方正书宋_GBK"/>
              </w:rPr>
              <w:t>70%</w:t>
            </w:r>
          </w:p>
        </w:tc>
        <w:tc>
          <w:tcPr>
            <w:tcW w:w="787" w:type="dxa"/>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17" w:hRule="atLeast"/>
        </w:trPr>
        <w:tc>
          <w:tcPr>
            <w:tcW w:w="1967" w:type="dxa"/>
            <w:vAlign w:val="center"/>
          </w:tcPr>
          <w:p>
            <w:pPr>
              <w:spacing w:line="300" w:lineRule="exact"/>
              <w:jc w:val="left"/>
              <w:rPr>
                <w:rFonts w:ascii="方正书宋_GBK" w:eastAsia="方正书宋_GBK"/>
                <w:b/>
              </w:rPr>
            </w:pPr>
            <w:r>
              <w:rPr>
                <w:rFonts w:hint="eastAsia" w:ascii="宋体" w:hAnsi="宋体" w:cs="宋体"/>
                <w:b/>
              </w:rPr>
              <w:t>　　教学事务管理</w:t>
            </w:r>
          </w:p>
        </w:tc>
        <w:tc>
          <w:tcPr>
            <w:tcW w:w="1075" w:type="dxa"/>
            <w:vAlign w:val="center"/>
          </w:tcPr>
          <w:p>
            <w:pPr>
              <w:spacing w:line="300" w:lineRule="exact"/>
              <w:jc w:val="left"/>
              <w:rPr>
                <w:rFonts w:ascii="方正书宋_GBK" w:eastAsia="方正书宋_GBK"/>
              </w:rPr>
            </w:pPr>
          </w:p>
        </w:tc>
        <w:tc>
          <w:tcPr>
            <w:tcW w:w="2502" w:type="dxa"/>
            <w:vAlign w:val="center"/>
          </w:tcPr>
          <w:p>
            <w:pPr>
              <w:spacing w:line="300" w:lineRule="exact"/>
              <w:jc w:val="left"/>
              <w:rPr>
                <w:rFonts w:ascii="方正书宋_GBK" w:eastAsia="方正书宋_GBK"/>
              </w:rPr>
            </w:pPr>
            <w:r>
              <w:rPr>
                <w:rFonts w:hint="eastAsia" w:ascii="宋体" w:hAnsi="宋体" w:cs="宋体"/>
              </w:rPr>
              <w:t>组织实施综合管理和后勤保障服务</w:t>
            </w:r>
          </w:p>
        </w:tc>
        <w:tc>
          <w:tcPr>
            <w:tcW w:w="2502" w:type="dxa"/>
            <w:vAlign w:val="center"/>
          </w:tcPr>
          <w:p>
            <w:pPr>
              <w:spacing w:line="300" w:lineRule="exact"/>
              <w:jc w:val="left"/>
              <w:rPr>
                <w:rFonts w:ascii="方正书宋_GBK" w:eastAsia="方正书宋_GBK"/>
              </w:rPr>
            </w:pPr>
            <w:r>
              <w:rPr>
                <w:rFonts w:hint="eastAsia" w:ascii="宋体" w:hAnsi="宋体" w:cs="宋体"/>
              </w:rPr>
              <w:t>通过有效的行政后勤管理，完善教学设施和服务网络，提高保障水平，促进教学活动和学员培训水平的提高</w:t>
            </w:r>
          </w:p>
        </w:tc>
        <w:tc>
          <w:tcPr>
            <w:tcW w:w="1891" w:type="dxa"/>
            <w:vAlign w:val="center"/>
          </w:tcPr>
          <w:p>
            <w:pPr>
              <w:spacing w:line="300" w:lineRule="exact"/>
              <w:jc w:val="left"/>
              <w:rPr>
                <w:rFonts w:ascii="方正书宋_GBK" w:eastAsia="方正书宋_GBK"/>
              </w:rPr>
            </w:pPr>
            <w:r>
              <w:rPr>
                <w:rFonts w:hint="eastAsia" w:ascii="宋体" w:hAnsi="宋体" w:cs="宋体"/>
              </w:rPr>
              <w:t>学员对综合事物管理满意度</w:t>
            </w:r>
          </w:p>
        </w:tc>
        <w:tc>
          <w:tcPr>
            <w:tcW w:w="717" w:type="dxa"/>
            <w:vAlign w:val="center"/>
          </w:tcPr>
          <w:p>
            <w:pPr>
              <w:spacing w:line="300" w:lineRule="exact"/>
              <w:jc w:val="center"/>
              <w:rPr>
                <w:rFonts w:ascii="方正书宋_GBK" w:eastAsia="方正书宋_GBK"/>
              </w:rPr>
            </w:pPr>
            <w:r>
              <w:rPr>
                <w:rFonts w:ascii="方正书宋_GBK" w:eastAsia="方正书宋_GBK"/>
              </w:rPr>
              <w:t>95%</w:t>
            </w:r>
          </w:p>
        </w:tc>
        <w:tc>
          <w:tcPr>
            <w:tcW w:w="685" w:type="dxa"/>
            <w:vAlign w:val="center"/>
          </w:tcPr>
          <w:p>
            <w:pPr>
              <w:spacing w:line="300" w:lineRule="exact"/>
              <w:jc w:val="center"/>
              <w:rPr>
                <w:rFonts w:ascii="方正书宋_GBK" w:eastAsia="方正书宋_GBK"/>
              </w:rPr>
            </w:pPr>
            <w:r>
              <w:rPr>
                <w:rFonts w:ascii="方正书宋_GBK" w:eastAsia="方正书宋_GBK"/>
              </w:rPr>
              <w:t>85%</w:t>
            </w:r>
          </w:p>
        </w:tc>
        <w:tc>
          <w:tcPr>
            <w:tcW w:w="714" w:type="dxa"/>
            <w:vAlign w:val="center"/>
          </w:tcPr>
          <w:p>
            <w:pPr>
              <w:spacing w:line="300" w:lineRule="exact"/>
              <w:jc w:val="center"/>
              <w:rPr>
                <w:rFonts w:ascii="方正书宋_GBK" w:eastAsia="方正书宋_GBK"/>
              </w:rPr>
            </w:pPr>
            <w:r>
              <w:rPr>
                <w:rFonts w:ascii="方正书宋_GBK" w:eastAsia="方正书宋_GBK"/>
              </w:rPr>
              <w:t>70%</w:t>
            </w:r>
          </w:p>
        </w:tc>
        <w:tc>
          <w:tcPr>
            <w:tcW w:w="787" w:type="dxa"/>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93" w:hRule="atLeast"/>
        </w:trPr>
        <w:tc>
          <w:tcPr>
            <w:tcW w:w="1967" w:type="dxa"/>
            <w:vAlign w:val="center"/>
          </w:tcPr>
          <w:p>
            <w:pPr>
              <w:spacing w:line="300" w:lineRule="exact"/>
              <w:jc w:val="left"/>
              <w:rPr>
                <w:rFonts w:ascii="方正书宋_GBK" w:eastAsia="方正书宋_GBK"/>
                <w:b/>
              </w:rPr>
            </w:pPr>
            <w:r>
              <w:rPr>
                <w:rFonts w:hint="eastAsia" w:ascii="宋体" w:hAnsi="宋体" w:cs="宋体"/>
                <w:b/>
              </w:rPr>
              <w:t>　　综合业务管理</w:t>
            </w:r>
          </w:p>
        </w:tc>
        <w:tc>
          <w:tcPr>
            <w:tcW w:w="1075" w:type="dxa"/>
            <w:vAlign w:val="center"/>
          </w:tcPr>
          <w:p>
            <w:pPr>
              <w:spacing w:line="300" w:lineRule="exact"/>
              <w:jc w:val="left"/>
              <w:rPr>
                <w:rFonts w:ascii="方正书宋_GBK" w:eastAsia="方正书宋_GBK"/>
              </w:rPr>
            </w:pPr>
            <w:r>
              <w:rPr>
                <w:rFonts w:ascii="方正书宋_GBK" w:eastAsia="方正书宋_GBK"/>
              </w:rPr>
              <w:t>12.00</w:t>
            </w:r>
          </w:p>
        </w:tc>
        <w:tc>
          <w:tcPr>
            <w:tcW w:w="2502" w:type="dxa"/>
            <w:vAlign w:val="center"/>
          </w:tcPr>
          <w:p>
            <w:pPr>
              <w:spacing w:line="300" w:lineRule="exact"/>
              <w:jc w:val="left"/>
              <w:rPr>
                <w:rFonts w:ascii="方正书宋_GBK" w:eastAsia="方正书宋_GBK"/>
              </w:rPr>
            </w:pPr>
            <w:r>
              <w:rPr>
                <w:rFonts w:hint="eastAsia" w:ascii="宋体" w:hAnsi="宋体" w:cs="宋体"/>
              </w:rPr>
              <w:t>组织单位日常活动的有效运行，提供有力的后勤保障</w:t>
            </w:r>
          </w:p>
        </w:tc>
        <w:tc>
          <w:tcPr>
            <w:tcW w:w="2502" w:type="dxa"/>
            <w:vAlign w:val="center"/>
          </w:tcPr>
          <w:p>
            <w:pPr>
              <w:spacing w:line="300" w:lineRule="exact"/>
              <w:jc w:val="left"/>
              <w:rPr>
                <w:rFonts w:ascii="方正书宋_GBK" w:eastAsia="方正书宋_GBK"/>
              </w:rPr>
            </w:pPr>
            <w:r>
              <w:rPr>
                <w:rFonts w:hint="eastAsia" w:ascii="宋体" w:hAnsi="宋体" w:cs="宋体"/>
              </w:rPr>
              <w:t>完善单位管理建设，为单位工作的正常开展做好保障工作</w:t>
            </w:r>
          </w:p>
        </w:tc>
        <w:tc>
          <w:tcPr>
            <w:tcW w:w="1891" w:type="dxa"/>
            <w:vAlign w:val="center"/>
          </w:tcPr>
          <w:p>
            <w:pPr>
              <w:spacing w:line="300" w:lineRule="exact"/>
              <w:jc w:val="left"/>
              <w:rPr>
                <w:rFonts w:ascii="方正书宋_GBK" w:eastAsia="方正书宋_GBK"/>
              </w:rPr>
            </w:pPr>
            <w:r>
              <w:rPr>
                <w:rFonts w:hint="eastAsia" w:ascii="宋体" w:hAnsi="宋体" w:cs="宋体"/>
              </w:rPr>
              <w:t>教职工的满意度</w:t>
            </w:r>
          </w:p>
        </w:tc>
        <w:tc>
          <w:tcPr>
            <w:tcW w:w="717" w:type="dxa"/>
            <w:vAlign w:val="center"/>
          </w:tcPr>
          <w:p>
            <w:pPr>
              <w:spacing w:line="300" w:lineRule="exact"/>
              <w:jc w:val="center"/>
              <w:rPr>
                <w:rFonts w:ascii="方正书宋_GBK" w:eastAsia="方正书宋_GBK"/>
              </w:rPr>
            </w:pPr>
            <w:r>
              <w:rPr>
                <w:rFonts w:ascii="方正书宋_GBK" w:eastAsia="方正书宋_GBK"/>
              </w:rPr>
              <w:t>95%</w:t>
            </w:r>
          </w:p>
        </w:tc>
        <w:tc>
          <w:tcPr>
            <w:tcW w:w="685" w:type="dxa"/>
            <w:vAlign w:val="center"/>
          </w:tcPr>
          <w:p>
            <w:pPr>
              <w:spacing w:line="300" w:lineRule="exact"/>
              <w:jc w:val="center"/>
              <w:rPr>
                <w:rFonts w:ascii="方正书宋_GBK" w:eastAsia="方正书宋_GBK"/>
              </w:rPr>
            </w:pPr>
            <w:r>
              <w:rPr>
                <w:rFonts w:ascii="方正书宋_GBK" w:eastAsia="方正书宋_GBK"/>
              </w:rPr>
              <w:t>85%</w:t>
            </w:r>
          </w:p>
        </w:tc>
        <w:tc>
          <w:tcPr>
            <w:tcW w:w="714" w:type="dxa"/>
            <w:vAlign w:val="center"/>
          </w:tcPr>
          <w:p>
            <w:pPr>
              <w:spacing w:line="300" w:lineRule="exact"/>
              <w:jc w:val="center"/>
              <w:rPr>
                <w:rFonts w:ascii="方正书宋_GBK" w:eastAsia="方正书宋_GBK"/>
              </w:rPr>
            </w:pPr>
            <w:r>
              <w:rPr>
                <w:rFonts w:ascii="方正书宋_GBK" w:eastAsia="方正书宋_GBK"/>
              </w:rPr>
              <w:t>70%</w:t>
            </w:r>
          </w:p>
        </w:tc>
        <w:tc>
          <w:tcPr>
            <w:tcW w:w="787" w:type="dxa"/>
            <w:vAlign w:val="center"/>
          </w:tcPr>
          <w:p>
            <w:pPr>
              <w:spacing w:line="300" w:lineRule="exact"/>
              <w:jc w:val="center"/>
              <w:rPr>
                <w:rFonts w:ascii="方正书宋_GBK" w:eastAsia="方正书宋_GBK"/>
              </w:rPr>
            </w:pPr>
            <w:r>
              <w:rPr>
                <w:rFonts w:ascii="方正书宋_GBK" w:eastAsia="方正书宋_GBK"/>
              </w:rPr>
              <w:t>50%</w:t>
            </w:r>
          </w:p>
        </w:tc>
      </w:tr>
      <w:bookmarkEnd w:id="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70" w:hRule="atLeast"/>
          <w:tblHeader/>
        </w:trPr>
        <w:tc>
          <w:tcPr>
            <w:tcW w:w="9937" w:type="dxa"/>
            <w:gridSpan w:val="5"/>
            <w:tcBorders>
              <w:top w:val="single" w:color="FFFFFF" w:sz="6" w:space="0"/>
              <w:left w:val="single" w:color="FFFFFF" w:sz="6" w:space="0"/>
              <w:bottom w:val="single" w:color="FFFFFF" w:sz="6" w:space="0"/>
              <w:right w:val="single" w:color="FFFFFF" w:sz="6" w:space="0"/>
            </w:tcBorders>
            <w:vAlign w:val="center"/>
          </w:tcPr>
          <w:p>
            <w:pPr>
              <w:spacing w:line="300" w:lineRule="exact"/>
              <w:jc w:val="left"/>
              <w:rPr>
                <w:rFonts w:ascii="方正小标宋_GBK" w:hAnsi="Times New Roman" w:eastAsia="方正小标宋_GBK"/>
                <w:sz w:val="18"/>
                <w:szCs w:val="18"/>
              </w:rPr>
            </w:pPr>
          </w:p>
        </w:tc>
        <w:tc>
          <w:tcPr>
            <w:tcW w:w="2903" w:type="dxa"/>
            <w:gridSpan w:val="4"/>
            <w:tcBorders>
              <w:top w:val="single" w:color="FFFFFF" w:sz="6" w:space="0"/>
              <w:left w:val="single" w:color="FFFFFF" w:sz="6" w:space="0"/>
              <w:bottom w:val="single" w:color="FFFFFF" w:sz="6" w:space="0"/>
              <w:right w:val="single" w:color="FFFFFF" w:sz="6" w:space="0"/>
            </w:tcBorders>
            <w:vAlign w:val="center"/>
          </w:tcPr>
          <w:p>
            <w:pPr>
              <w:spacing w:line="300" w:lineRule="exact"/>
              <w:jc w:val="right"/>
              <w:rPr>
                <w:rFonts w:ascii="方正书宋_GBK" w:hAnsi="Times New Roman"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5" w:hRule="atLeast"/>
          <w:tblHeader/>
        </w:trPr>
        <w:tc>
          <w:tcPr>
            <w:tcW w:w="9937" w:type="dxa"/>
            <w:gridSpan w:val="5"/>
            <w:tcBorders>
              <w:top w:val="single" w:color="FFFFFF" w:sz="6" w:space="0"/>
              <w:left w:val="single" w:color="FFFFFF" w:sz="6" w:space="0"/>
              <w:bottom w:val="single" w:color="FFFFFF" w:sz="6" w:space="0"/>
              <w:right w:val="single" w:color="FFFFFF" w:sz="6" w:space="0"/>
            </w:tcBorders>
            <w:vAlign w:val="center"/>
          </w:tcPr>
          <w:p>
            <w:pPr>
              <w:rPr>
                <w:rFonts w:ascii="方正小标宋_GBK" w:hAnsi="Times New Roman" w:eastAsia="方正小标宋_GBK"/>
                <w:sz w:val="18"/>
                <w:szCs w:val="18"/>
              </w:rPr>
            </w:pPr>
          </w:p>
        </w:tc>
        <w:tc>
          <w:tcPr>
            <w:tcW w:w="2903" w:type="dxa"/>
            <w:gridSpan w:val="4"/>
            <w:tcBorders>
              <w:top w:val="single" w:color="FFFFFF" w:sz="6" w:space="0"/>
              <w:left w:val="single" w:color="FFFFFF" w:sz="6" w:space="0"/>
              <w:bottom w:val="single" w:color="FFFFFF" w:sz="6" w:space="0"/>
              <w:right w:val="single" w:color="FFFFFF" w:sz="6" w:space="0"/>
            </w:tcBorders>
            <w:vAlign w:val="center"/>
          </w:tcPr>
          <w:p>
            <w:pPr>
              <w:spacing w:line="300" w:lineRule="exact"/>
              <w:jc w:val="right"/>
              <w:rPr>
                <w:rFonts w:ascii="方正书宋_GBK" w:hAnsi="Times New Roman"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4"/>
          <w:wAfter w:w="2903" w:type="dxa"/>
          <w:trHeight w:val="170" w:hRule="atLeast"/>
          <w:tblHeader/>
        </w:trPr>
        <w:tc>
          <w:tcPr>
            <w:tcW w:w="9937" w:type="dxa"/>
            <w:gridSpan w:val="5"/>
            <w:tcBorders>
              <w:top w:val="single" w:color="FFFFFF" w:sz="6" w:space="0"/>
              <w:left w:val="single" w:color="FFFFFF" w:sz="6" w:space="0"/>
              <w:bottom w:val="single" w:color="FFFFFF" w:sz="6" w:space="0"/>
              <w:right w:val="single" w:color="FFFFFF" w:sz="6" w:space="0"/>
            </w:tcBorders>
            <w:vAlign w:val="center"/>
          </w:tcPr>
          <w:p>
            <w:pPr>
              <w:spacing w:line="300" w:lineRule="exact"/>
              <w:ind w:right="-2766" w:rightChars="-1317"/>
              <w:jc w:val="left"/>
              <w:rPr>
                <w:rFonts w:ascii="仿宋" w:hAnsi="仿宋" w:eastAsia="仿宋"/>
                <w:sz w:val="32"/>
                <w:szCs w:val="32"/>
              </w:rPr>
            </w:pPr>
          </w:p>
        </w:tc>
      </w:tr>
    </w:tbl>
    <w:p>
      <w:pPr>
        <w:autoSpaceDE w:val="0"/>
        <w:autoSpaceDN w:val="0"/>
        <w:adjustRightInd w:val="0"/>
        <w:ind w:left="198" w:firstLine="640" w:firstLineChars="200"/>
        <w:jc w:val="left"/>
        <w:rPr>
          <w:rFonts w:hint="eastAsia" w:ascii="黑体" w:hAnsi="黑体" w:eastAsia="黑体"/>
          <w:sz w:val="32"/>
          <w:szCs w:val="32"/>
        </w:rPr>
      </w:pPr>
    </w:p>
    <w:p>
      <w:pPr>
        <w:autoSpaceDE w:val="0"/>
        <w:autoSpaceDN w:val="0"/>
        <w:adjustRightInd w:val="0"/>
        <w:ind w:left="198" w:firstLine="640" w:firstLineChars="200"/>
        <w:jc w:val="left"/>
        <w:rPr>
          <w:rFonts w:hint="eastAsia" w:ascii="黑体" w:hAnsi="黑体" w:eastAsia="黑体"/>
          <w:sz w:val="32"/>
          <w:szCs w:val="32"/>
        </w:rPr>
      </w:pPr>
    </w:p>
    <w:p>
      <w:pPr>
        <w:autoSpaceDE w:val="0"/>
        <w:autoSpaceDN w:val="0"/>
        <w:adjustRightInd w:val="0"/>
        <w:ind w:left="198" w:firstLine="640" w:firstLineChars="200"/>
        <w:jc w:val="left"/>
        <w:rPr>
          <w:rFonts w:hint="eastAsia" w:ascii="黑体" w:hAnsi="黑体" w:eastAsia="黑体"/>
          <w:sz w:val="32"/>
          <w:szCs w:val="32"/>
        </w:rPr>
      </w:pPr>
    </w:p>
    <w:p>
      <w:pPr>
        <w:autoSpaceDE w:val="0"/>
        <w:autoSpaceDN w:val="0"/>
        <w:adjustRightInd w:val="0"/>
        <w:ind w:left="198" w:firstLine="640" w:firstLineChars="200"/>
        <w:jc w:val="left"/>
        <w:rPr>
          <w:rFonts w:hint="eastAsia" w:ascii="黑体" w:hAnsi="黑体" w:eastAsia="黑体"/>
          <w:sz w:val="32"/>
          <w:szCs w:val="32"/>
        </w:rPr>
      </w:pPr>
    </w:p>
    <w:p>
      <w:pPr>
        <w:autoSpaceDE w:val="0"/>
        <w:autoSpaceDN w:val="0"/>
        <w:adjustRightInd w:val="0"/>
        <w:ind w:left="198" w:firstLine="640" w:firstLineChars="200"/>
        <w:jc w:val="left"/>
        <w:rPr>
          <w:rFonts w:hint="eastAsia" w:ascii="黑体" w:hAnsi="黑体" w:eastAsia="黑体"/>
          <w:sz w:val="32"/>
          <w:szCs w:val="32"/>
        </w:rPr>
      </w:pPr>
    </w:p>
    <w:p>
      <w:pPr>
        <w:autoSpaceDE w:val="0"/>
        <w:autoSpaceDN w:val="0"/>
        <w:adjustRightInd w:val="0"/>
        <w:ind w:left="198" w:firstLine="640" w:firstLineChars="200"/>
        <w:jc w:val="left"/>
        <w:rPr>
          <w:rFonts w:hint="eastAsia" w:ascii="黑体" w:hAnsi="黑体" w:eastAsia="黑体"/>
          <w:sz w:val="32"/>
          <w:szCs w:val="32"/>
        </w:rPr>
      </w:pPr>
    </w:p>
    <w:p>
      <w:pPr>
        <w:autoSpaceDE w:val="0"/>
        <w:autoSpaceDN w:val="0"/>
        <w:adjustRightInd w:val="0"/>
        <w:ind w:left="198" w:firstLine="640" w:firstLineChars="200"/>
        <w:jc w:val="left"/>
        <w:rPr>
          <w:rFonts w:hint="eastAsia" w:ascii="黑体" w:hAnsi="黑体" w:eastAsia="黑体"/>
          <w:sz w:val="32"/>
          <w:szCs w:val="32"/>
        </w:rPr>
      </w:pPr>
    </w:p>
    <w:p>
      <w:pPr>
        <w:autoSpaceDE w:val="0"/>
        <w:autoSpaceDN w:val="0"/>
        <w:adjustRightInd w:val="0"/>
        <w:ind w:left="198" w:firstLine="640" w:firstLineChars="200"/>
        <w:jc w:val="left"/>
        <w:rPr>
          <w:rFonts w:hint="eastAsia" w:ascii="黑体" w:hAnsi="黑体" w:eastAsia="黑体"/>
          <w:sz w:val="32"/>
          <w:szCs w:val="32"/>
        </w:rPr>
      </w:pPr>
    </w:p>
    <w:p>
      <w:pPr>
        <w:numPr>
          <w:ilvl w:val="0"/>
          <w:numId w:val="0"/>
        </w:numPr>
        <w:rPr>
          <w:rFonts w:hint="eastAsia" w:ascii="黑体" w:hAnsi="黑体" w:eastAsia="黑体"/>
          <w:sz w:val="32"/>
          <w:szCs w:val="32"/>
        </w:rPr>
      </w:pPr>
    </w:p>
    <w:p>
      <w:pPr>
        <w:numPr>
          <w:ilvl w:val="0"/>
          <w:numId w:val="1"/>
        </w:numPr>
        <w:ind w:firstLine="640"/>
        <w:rPr>
          <w:rFonts w:hint="eastAsia" w:ascii="黑体" w:hAnsi="黑体" w:eastAsia="黑体"/>
          <w:sz w:val="32"/>
          <w:szCs w:val="32"/>
        </w:rPr>
      </w:pPr>
      <w:r>
        <w:rPr>
          <w:rFonts w:hint="eastAsia" w:ascii="黑体" w:hAnsi="黑体" w:eastAsia="黑体"/>
          <w:sz w:val="32"/>
          <w:szCs w:val="32"/>
        </w:rPr>
        <w:t>政府采购预算情况</w:t>
      </w:r>
    </w:p>
    <w:p>
      <w:pPr>
        <w:numPr>
          <w:ilvl w:val="0"/>
          <w:numId w:val="0"/>
        </w:numPr>
        <w:rPr>
          <w:rFonts w:hint="eastAsia" w:ascii="黑体" w:hAnsi="黑体" w:eastAsia="黑体"/>
          <w:sz w:val="32"/>
          <w:szCs w:val="32"/>
        </w:rPr>
      </w:pP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本年度部门预算共计安排政府采购项目为</w:t>
      </w:r>
      <w:r>
        <w:rPr>
          <w:rFonts w:ascii="仿宋" w:hAnsi="仿宋" w:eastAsia="仿宋"/>
          <w:sz w:val="32"/>
          <w:szCs w:val="32"/>
        </w:rPr>
        <w:t>0</w:t>
      </w:r>
      <w:r>
        <w:rPr>
          <w:rFonts w:hint="eastAsia" w:ascii="仿宋" w:hAnsi="仿宋" w:eastAsia="仿宋"/>
          <w:sz w:val="32"/>
          <w:szCs w:val="32"/>
        </w:rPr>
        <w:t>类</w:t>
      </w:r>
      <w:r>
        <w:rPr>
          <w:rFonts w:ascii="仿宋" w:hAnsi="仿宋" w:eastAsia="仿宋"/>
          <w:sz w:val="32"/>
          <w:szCs w:val="32"/>
        </w:rPr>
        <w:t>0</w:t>
      </w:r>
      <w:r>
        <w:rPr>
          <w:rFonts w:hint="eastAsia" w:ascii="仿宋" w:hAnsi="仿宋" w:eastAsia="仿宋"/>
          <w:sz w:val="32"/>
          <w:szCs w:val="32"/>
        </w:rPr>
        <w:t>个，涉及金额</w:t>
      </w:r>
      <w:r>
        <w:rPr>
          <w:rFonts w:ascii="仿宋" w:hAnsi="仿宋" w:eastAsia="仿宋"/>
          <w:sz w:val="32"/>
          <w:szCs w:val="32"/>
        </w:rPr>
        <w:t>0</w:t>
      </w:r>
      <w:r>
        <w:rPr>
          <w:rFonts w:hint="eastAsia" w:ascii="仿宋" w:hAnsi="仿宋" w:eastAsia="仿宋"/>
          <w:sz w:val="32"/>
          <w:szCs w:val="32"/>
        </w:rPr>
        <w:t>万元，其中货物类</w:t>
      </w:r>
      <w:r>
        <w:rPr>
          <w:rFonts w:ascii="仿宋" w:hAnsi="仿宋" w:eastAsia="仿宋"/>
          <w:sz w:val="32"/>
          <w:szCs w:val="32"/>
        </w:rPr>
        <w:t>0</w:t>
      </w:r>
      <w:r>
        <w:rPr>
          <w:rFonts w:hint="eastAsia" w:ascii="仿宋" w:hAnsi="仿宋" w:eastAsia="仿宋"/>
          <w:sz w:val="32"/>
          <w:szCs w:val="32"/>
        </w:rPr>
        <w:t>个，涉及金额</w:t>
      </w:r>
      <w:r>
        <w:rPr>
          <w:rFonts w:ascii="仿宋" w:hAnsi="仿宋" w:eastAsia="仿宋"/>
          <w:sz w:val="32"/>
          <w:szCs w:val="32"/>
        </w:rPr>
        <w:t>0</w:t>
      </w:r>
      <w:r>
        <w:rPr>
          <w:rFonts w:hint="eastAsia" w:ascii="仿宋" w:hAnsi="仿宋" w:eastAsia="仿宋"/>
          <w:sz w:val="32"/>
          <w:szCs w:val="32"/>
        </w:rPr>
        <w:t>万元；工程类</w:t>
      </w:r>
      <w:r>
        <w:rPr>
          <w:rFonts w:ascii="仿宋" w:hAnsi="仿宋" w:eastAsia="仿宋"/>
          <w:sz w:val="32"/>
          <w:szCs w:val="32"/>
        </w:rPr>
        <w:t>0</w:t>
      </w:r>
      <w:r>
        <w:rPr>
          <w:rFonts w:hint="eastAsia" w:ascii="仿宋" w:hAnsi="仿宋" w:eastAsia="仿宋"/>
          <w:sz w:val="32"/>
          <w:szCs w:val="32"/>
        </w:rPr>
        <w:t>个，涉及金额</w:t>
      </w:r>
      <w:r>
        <w:rPr>
          <w:rFonts w:ascii="仿宋" w:hAnsi="仿宋" w:eastAsia="仿宋"/>
          <w:sz w:val="32"/>
          <w:szCs w:val="32"/>
        </w:rPr>
        <w:t>0</w:t>
      </w:r>
      <w:r>
        <w:rPr>
          <w:rFonts w:hint="eastAsia" w:ascii="仿宋" w:hAnsi="仿宋" w:eastAsia="仿宋"/>
          <w:sz w:val="32"/>
          <w:szCs w:val="32"/>
        </w:rPr>
        <w:t>万元；服务类</w:t>
      </w:r>
      <w:r>
        <w:rPr>
          <w:rFonts w:ascii="仿宋" w:hAnsi="仿宋" w:eastAsia="仿宋"/>
          <w:sz w:val="32"/>
          <w:szCs w:val="32"/>
        </w:rPr>
        <w:t>0</w:t>
      </w:r>
      <w:r>
        <w:rPr>
          <w:rFonts w:hint="eastAsia" w:ascii="仿宋" w:hAnsi="仿宋" w:eastAsia="仿宋"/>
          <w:sz w:val="32"/>
          <w:szCs w:val="32"/>
        </w:rPr>
        <w:t>个，涉及金额</w:t>
      </w:r>
      <w:r>
        <w:rPr>
          <w:rFonts w:ascii="仿宋" w:hAnsi="仿宋" w:eastAsia="仿宋"/>
          <w:sz w:val="32"/>
          <w:szCs w:val="32"/>
        </w:rPr>
        <w:t>0</w:t>
      </w:r>
      <w:r>
        <w:rPr>
          <w:rFonts w:hint="eastAsia" w:ascii="仿宋" w:hAnsi="仿宋" w:eastAsia="仿宋"/>
          <w:sz w:val="32"/>
          <w:szCs w:val="32"/>
        </w:rPr>
        <w:t>万元。</w:t>
      </w:r>
    </w:p>
    <w:p>
      <w:pPr>
        <w:jc w:val="center"/>
        <w:outlineLvl w:val="0"/>
        <w:rPr>
          <w:rFonts w:ascii="宋体" w:hAnsi="宋体"/>
          <w:sz w:val="32"/>
          <w:szCs w:val="24"/>
        </w:rPr>
      </w:pPr>
      <w:r>
        <w:rPr>
          <w:rFonts w:hint="eastAsia" w:ascii="宋体" w:hAnsi="宋体"/>
          <w:sz w:val="32"/>
          <w:szCs w:val="24"/>
        </w:rPr>
        <w:t>部门政府采购预算</w:t>
      </w:r>
    </w:p>
    <w:tbl>
      <w:tblPr>
        <w:tblStyle w:val="8"/>
        <w:tblW w:w="1449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91"/>
        <w:gridCol w:w="1066"/>
        <w:gridCol w:w="879"/>
        <w:gridCol w:w="1398"/>
        <w:gridCol w:w="879"/>
        <w:gridCol w:w="879"/>
        <w:gridCol w:w="902"/>
        <w:gridCol w:w="899"/>
        <w:gridCol w:w="899"/>
        <w:gridCol w:w="899"/>
        <w:gridCol w:w="818"/>
        <w:gridCol w:w="881"/>
        <w:gridCol w:w="881"/>
        <w:gridCol w:w="8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394"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hAnsi="Times New Roman" w:eastAsia="方正小标宋_GBK"/>
                <w:sz w:val="24"/>
                <w:szCs w:val="24"/>
                <w:lang w:eastAsia="zh-CN"/>
              </w:rPr>
            </w:pPr>
            <w:r>
              <w:rPr>
                <w:rFonts w:hint="eastAsia" w:ascii="方正小标宋_GBK" w:hAnsi="Times New Roman" w:eastAsia="方正小标宋_GBK"/>
                <w:sz w:val="18"/>
                <w:szCs w:val="18"/>
                <w:lang w:val="en-US" w:eastAsia="zh-CN"/>
              </w:rPr>
              <w:t>281香河县委党校</w:t>
            </w:r>
          </w:p>
        </w:tc>
        <w:tc>
          <w:tcPr>
            <w:tcW w:w="61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Times New Roman" w:eastAsia="方正书宋_GBK"/>
                <w:sz w:val="24"/>
                <w:szCs w:val="24"/>
              </w:rPr>
            </w:pPr>
            <w:r>
              <w:rPr>
                <w:rFonts w:hint="eastAsia" w:ascii="方正书宋_GBK" w:hAnsi="Times New Roman" w:eastAsia="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457" w:type="dxa"/>
            <w:gridSpan w:val="2"/>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政府采购项目来源</w:t>
            </w:r>
          </w:p>
        </w:tc>
        <w:tc>
          <w:tcPr>
            <w:tcW w:w="87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采购物品名称</w:t>
            </w:r>
          </w:p>
        </w:tc>
        <w:tc>
          <w:tcPr>
            <w:tcW w:w="1398"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政府采购目录序号</w:t>
            </w:r>
          </w:p>
        </w:tc>
        <w:tc>
          <w:tcPr>
            <w:tcW w:w="87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数量  单位</w:t>
            </w:r>
          </w:p>
        </w:tc>
        <w:tc>
          <w:tcPr>
            <w:tcW w:w="87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数量</w:t>
            </w:r>
          </w:p>
        </w:tc>
        <w:tc>
          <w:tcPr>
            <w:tcW w:w="902"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单价</w:t>
            </w:r>
          </w:p>
        </w:tc>
        <w:tc>
          <w:tcPr>
            <w:tcW w:w="6103" w:type="dxa"/>
            <w:gridSpan w:val="7"/>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91"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项目名称</w:t>
            </w:r>
          </w:p>
        </w:tc>
        <w:tc>
          <w:tcPr>
            <w:tcW w:w="1066"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预算资金</w:t>
            </w: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1398"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902" w:type="dxa"/>
            <w:vMerge w:val="continue"/>
            <w:shd w:val="clear" w:color="auto" w:fill="auto"/>
            <w:vAlign w:val="center"/>
          </w:tcPr>
          <w:p>
            <w:pPr>
              <w:spacing w:line="300" w:lineRule="exact"/>
              <w:jc w:val="left"/>
              <w:outlineLvl w:val="0"/>
              <w:rPr>
                <w:rFonts w:ascii="Times New Roman" w:hAnsi="Times New Roman"/>
                <w:szCs w:val="24"/>
              </w:rPr>
            </w:pPr>
          </w:p>
        </w:tc>
        <w:tc>
          <w:tcPr>
            <w:tcW w:w="89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总计</w:t>
            </w:r>
          </w:p>
        </w:tc>
        <w:tc>
          <w:tcPr>
            <w:tcW w:w="4378" w:type="dxa"/>
            <w:gridSpan w:val="5"/>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当年部门预算安排资金</w:t>
            </w:r>
          </w:p>
        </w:tc>
        <w:tc>
          <w:tcPr>
            <w:tcW w:w="826"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91" w:type="dxa"/>
            <w:vMerge w:val="continue"/>
            <w:shd w:val="clear" w:color="auto" w:fill="auto"/>
            <w:vAlign w:val="center"/>
          </w:tcPr>
          <w:p>
            <w:pPr>
              <w:spacing w:line="300" w:lineRule="exact"/>
              <w:jc w:val="left"/>
              <w:outlineLvl w:val="0"/>
              <w:rPr>
                <w:rFonts w:ascii="Times New Roman" w:hAnsi="Times New Roman"/>
                <w:szCs w:val="24"/>
              </w:rPr>
            </w:pPr>
          </w:p>
        </w:tc>
        <w:tc>
          <w:tcPr>
            <w:tcW w:w="1066"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1398"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902" w:type="dxa"/>
            <w:vMerge w:val="continue"/>
            <w:shd w:val="clear" w:color="auto" w:fill="auto"/>
            <w:vAlign w:val="center"/>
          </w:tcPr>
          <w:p>
            <w:pPr>
              <w:spacing w:line="300" w:lineRule="exact"/>
              <w:jc w:val="left"/>
              <w:outlineLvl w:val="0"/>
              <w:rPr>
                <w:rFonts w:ascii="Times New Roman" w:hAnsi="Times New Roman"/>
                <w:szCs w:val="24"/>
              </w:rPr>
            </w:pPr>
          </w:p>
        </w:tc>
        <w:tc>
          <w:tcPr>
            <w:tcW w:w="899" w:type="dxa"/>
            <w:vMerge w:val="continue"/>
            <w:shd w:val="clear" w:color="auto" w:fill="auto"/>
            <w:vAlign w:val="center"/>
          </w:tcPr>
          <w:p>
            <w:pPr>
              <w:spacing w:line="300" w:lineRule="exact"/>
              <w:jc w:val="left"/>
              <w:outlineLvl w:val="0"/>
              <w:rPr>
                <w:rFonts w:ascii="Times New Roman" w:hAnsi="Times New Roman"/>
                <w:szCs w:val="24"/>
              </w:rPr>
            </w:pPr>
          </w:p>
        </w:tc>
        <w:tc>
          <w:tcPr>
            <w:tcW w:w="899"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合计</w:t>
            </w:r>
          </w:p>
        </w:tc>
        <w:tc>
          <w:tcPr>
            <w:tcW w:w="899"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一般公共预算拨款</w:t>
            </w:r>
          </w:p>
        </w:tc>
        <w:tc>
          <w:tcPr>
            <w:tcW w:w="818"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基金预算拨款</w:t>
            </w:r>
          </w:p>
        </w:tc>
        <w:tc>
          <w:tcPr>
            <w:tcW w:w="881"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财政专户核拨</w:t>
            </w:r>
          </w:p>
        </w:tc>
        <w:tc>
          <w:tcPr>
            <w:tcW w:w="881"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其他来源收入</w:t>
            </w:r>
          </w:p>
        </w:tc>
        <w:tc>
          <w:tcPr>
            <w:tcW w:w="826" w:type="dxa"/>
            <w:vMerge w:val="continue"/>
            <w:shd w:val="clear" w:color="auto" w:fill="auto"/>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合　计</w:t>
            </w:r>
          </w:p>
        </w:tc>
        <w:tc>
          <w:tcPr>
            <w:tcW w:w="1066" w:type="dxa"/>
            <w:shd w:val="clear" w:color="auto" w:fill="auto"/>
            <w:vAlign w:val="center"/>
          </w:tcPr>
          <w:p>
            <w:pPr>
              <w:spacing w:line="300" w:lineRule="exact"/>
              <w:jc w:val="righ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1398"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right"/>
              <w:rPr>
                <w:rFonts w:ascii="方正书宋_GBK" w:hAnsi="Times New Roman" w:eastAsia="方正书宋_GBK"/>
                <w:b/>
                <w:szCs w:val="24"/>
              </w:rPr>
            </w:pPr>
          </w:p>
        </w:tc>
        <w:tc>
          <w:tcPr>
            <w:tcW w:w="902"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18"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26" w:type="dxa"/>
            <w:shd w:val="clear" w:color="auto" w:fill="auto"/>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center"/>
              <w:rPr>
                <w:rFonts w:ascii="方正书宋_GBK" w:hAnsi="Times New Roman" w:eastAsia="方正书宋_GBK"/>
                <w:b/>
                <w:szCs w:val="24"/>
              </w:rPr>
            </w:pPr>
          </w:p>
        </w:tc>
        <w:tc>
          <w:tcPr>
            <w:tcW w:w="1066" w:type="dxa"/>
            <w:shd w:val="clear" w:color="auto" w:fill="auto"/>
            <w:vAlign w:val="center"/>
          </w:tcPr>
          <w:p>
            <w:pPr>
              <w:spacing w:line="300" w:lineRule="exact"/>
              <w:jc w:val="righ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1398"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right"/>
              <w:rPr>
                <w:rFonts w:ascii="方正书宋_GBK" w:hAnsi="Times New Roman" w:eastAsia="方正书宋_GBK"/>
                <w:b/>
                <w:szCs w:val="24"/>
              </w:rPr>
            </w:pPr>
          </w:p>
        </w:tc>
        <w:tc>
          <w:tcPr>
            <w:tcW w:w="902"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18"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26" w:type="dxa"/>
            <w:shd w:val="clear" w:color="auto" w:fill="auto"/>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left"/>
              <w:rPr>
                <w:rFonts w:ascii="方正书宋_GBK" w:hAnsi="Times New Roman" w:eastAsia="方正书宋_GBK"/>
                <w:szCs w:val="24"/>
              </w:rPr>
            </w:pPr>
          </w:p>
        </w:tc>
        <w:tc>
          <w:tcPr>
            <w:tcW w:w="1066" w:type="dxa"/>
            <w:shd w:val="clear" w:color="auto" w:fill="auto"/>
            <w:vAlign w:val="center"/>
          </w:tcPr>
          <w:p>
            <w:pPr>
              <w:spacing w:line="300" w:lineRule="exact"/>
              <w:jc w:val="righ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1398"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right"/>
              <w:rPr>
                <w:rFonts w:ascii="方正书宋_GBK" w:hAnsi="Times New Roman" w:eastAsia="方正书宋_GBK"/>
                <w:szCs w:val="24"/>
              </w:rPr>
            </w:pPr>
          </w:p>
        </w:tc>
        <w:tc>
          <w:tcPr>
            <w:tcW w:w="902"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18"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26" w:type="dxa"/>
            <w:shd w:val="clear" w:color="auto" w:fill="auto"/>
            <w:vAlign w:val="center"/>
          </w:tcPr>
          <w:p>
            <w:pPr>
              <w:spacing w:line="300" w:lineRule="exact"/>
              <w:jc w:val="right"/>
              <w:rPr>
                <w:rFonts w:ascii="方正书宋_GBK"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left"/>
              <w:rPr>
                <w:rFonts w:ascii="方正书宋_GBK" w:hAnsi="Times New Roman" w:eastAsia="方正书宋_GBK"/>
                <w:szCs w:val="24"/>
              </w:rPr>
            </w:pPr>
          </w:p>
        </w:tc>
        <w:tc>
          <w:tcPr>
            <w:tcW w:w="1066" w:type="dxa"/>
            <w:shd w:val="clear" w:color="auto" w:fill="auto"/>
            <w:vAlign w:val="center"/>
          </w:tcPr>
          <w:p>
            <w:pPr>
              <w:spacing w:line="300" w:lineRule="exact"/>
              <w:jc w:val="righ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1398"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right"/>
              <w:rPr>
                <w:rFonts w:ascii="方正书宋_GBK" w:hAnsi="Times New Roman" w:eastAsia="方正书宋_GBK"/>
                <w:szCs w:val="24"/>
              </w:rPr>
            </w:pPr>
          </w:p>
        </w:tc>
        <w:tc>
          <w:tcPr>
            <w:tcW w:w="902"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18"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26" w:type="dxa"/>
            <w:shd w:val="clear" w:color="auto" w:fill="auto"/>
            <w:vAlign w:val="center"/>
          </w:tcPr>
          <w:p>
            <w:pPr>
              <w:spacing w:line="300" w:lineRule="exact"/>
              <w:jc w:val="right"/>
              <w:rPr>
                <w:rFonts w:ascii="方正书宋_GBK" w:hAnsi="Times New Roman" w:eastAsia="方正书宋_GBK"/>
                <w:szCs w:val="24"/>
              </w:rPr>
            </w:pPr>
          </w:p>
        </w:tc>
      </w:tr>
    </w:tbl>
    <w:p>
      <w:pPr>
        <w:pStyle w:val="2"/>
        <w:rPr>
          <w:rFonts w:hint="eastAsia" w:hAnsi="宋体" w:cs="宋体"/>
        </w:rPr>
      </w:pPr>
    </w:p>
    <w:p>
      <w:pPr>
        <w:spacing w:line="560" w:lineRule="exact"/>
        <w:ind w:firstLine="640" w:firstLineChars="200"/>
        <w:rPr>
          <w:rFonts w:hint="eastAsia" w:ascii="仿宋" w:hAnsi="仿宋" w:eastAsia="仿宋"/>
          <w:sz w:val="32"/>
          <w:szCs w:val="32"/>
        </w:rPr>
      </w:pPr>
    </w:p>
    <w:p>
      <w:pPr>
        <w:autoSpaceDE w:val="0"/>
        <w:autoSpaceDN w:val="0"/>
        <w:adjustRightInd w:val="0"/>
        <w:ind w:left="198" w:firstLine="640" w:firstLineChars="200"/>
        <w:jc w:val="left"/>
        <w:rPr>
          <w:rFonts w:ascii="黑体" w:hAnsi="黑体" w:eastAsia="黑体"/>
          <w:sz w:val="32"/>
          <w:szCs w:val="32"/>
        </w:rPr>
      </w:pPr>
      <w:r>
        <w:rPr>
          <w:rFonts w:hint="eastAsia" w:ascii="黑体" w:hAnsi="黑体" w:eastAsia="黑体"/>
          <w:sz w:val="32"/>
          <w:szCs w:val="32"/>
        </w:rPr>
        <w:t>七、国有资产信息</w:t>
      </w:r>
    </w:p>
    <w:p>
      <w:pPr>
        <w:spacing w:line="560" w:lineRule="exact"/>
        <w:ind w:firstLine="640" w:firstLineChars="200"/>
        <w:rPr>
          <w:rFonts w:ascii="仿宋" w:hAnsi="仿宋" w:eastAsia="仿宋"/>
          <w:b/>
          <w:sz w:val="32"/>
          <w:szCs w:val="32"/>
          <w:highlight w:val="red"/>
        </w:rPr>
      </w:pPr>
      <w:r>
        <w:rPr>
          <w:rFonts w:hint="eastAsia" w:ascii="仿宋" w:hAnsi="仿宋" w:eastAsia="仿宋"/>
          <w:sz w:val="32"/>
          <w:szCs w:val="32"/>
        </w:rPr>
        <w:t>香河县委党校（含所属单位）上年末固定资产金额为</w:t>
      </w:r>
      <w:r>
        <w:rPr>
          <w:rFonts w:ascii="仿宋" w:hAnsi="仿宋" w:eastAsia="仿宋"/>
          <w:sz w:val="32"/>
          <w:szCs w:val="32"/>
        </w:rPr>
        <w:t>518.66</w:t>
      </w:r>
      <w:r>
        <w:rPr>
          <w:rFonts w:hint="eastAsia" w:ascii="仿宋" w:hAnsi="仿宋" w:eastAsia="仿宋"/>
          <w:sz w:val="32"/>
          <w:szCs w:val="32"/>
        </w:rPr>
        <w:t>万元，本年度各处室无政府采购预算。详见下表。</w:t>
      </w:r>
    </w:p>
    <w:p>
      <w:pPr>
        <w:ind w:firstLine="640"/>
        <w:rPr>
          <w:rFonts w:ascii="仿宋" w:hAnsi="仿宋" w:eastAsia="仿宋"/>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编制部门：香河县委党校</w:t>
            </w:r>
          </w:p>
        </w:tc>
        <w:tc>
          <w:tcPr>
            <w:tcW w:w="5103" w:type="dxa"/>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截止时间：</w:t>
            </w:r>
            <w:r>
              <w:rPr>
                <w:rFonts w:ascii="宋体" w:hAnsi="宋体" w:cs="宋体"/>
                <w:kern w:val="0"/>
                <w:sz w:val="22"/>
              </w:rPr>
              <w:t>2017</w:t>
            </w:r>
            <w:r>
              <w:rPr>
                <w:rFonts w:hint="eastAsia" w:ascii="宋体" w:hAnsi="宋体" w:cs="宋体"/>
                <w:kern w:val="0"/>
                <w:sz w:val="22"/>
              </w:rPr>
              <w:t>年</w:t>
            </w:r>
            <w:r>
              <w:rPr>
                <w:rFonts w:ascii="宋体" w:hAnsi="宋体" w:cs="宋体"/>
                <w:kern w:val="0"/>
                <w:sz w:val="22"/>
              </w:rPr>
              <w:t>12</w:t>
            </w:r>
            <w:r>
              <w:rPr>
                <w:rFonts w:hint="eastAsia" w:ascii="宋体" w:hAnsi="宋体" w:cs="宋体"/>
                <w:kern w:val="0"/>
                <w:sz w:val="22"/>
              </w:rPr>
              <w:t>月</w:t>
            </w:r>
            <w:r>
              <w:rPr>
                <w:rFonts w:ascii="宋体" w:hAnsi="宋体" w:cs="宋体"/>
                <w:kern w:val="0"/>
                <w:sz w:val="22"/>
              </w:rPr>
              <w:t>31</w:t>
            </w:r>
            <w:r>
              <w:rPr>
                <w:rFonts w:hint="eastAsia" w:ascii="宋体" w:hAnsi="宋体" w:cs="宋体"/>
                <w:kern w:val="0"/>
                <w:sz w:val="22"/>
              </w:rPr>
              <w:t>日</w:t>
            </w:r>
            <w:r>
              <w:rPr>
                <w:rFonts w:ascii="宋体" w:hAnsi="宋体" w:cs="宋体"/>
                <w:kern w:val="0"/>
                <w:sz w:val="22"/>
              </w:rPr>
              <w:t xml:space="preserve">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项</w:t>
            </w:r>
            <w:r>
              <w:rPr>
                <w:rFonts w:ascii="宋体" w:hAnsi="宋体" w:cs="宋体"/>
                <w:b/>
                <w:bCs/>
                <w:kern w:val="0"/>
                <w:sz w:val="22"/>
              </w:rPr>
              <w:t xml:space="preserve">   </w:t>
            </w:r>
            <w:r>
              <w:rPr>
                <w:rFonts w:hint="eastAsia" w:ascii="宋体" w:hAnsi="宋体" w:cs="宋体"/>
                <w:b/>
                <w:bCs/>
                <w:kern w:val="0"/>
                <w:sz w:val="22"/>
              </w:rPr>
              <w:t>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518.66</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1</w:t>
            </w:r>
            <w:r>
              <w:rPr>
                <w:rFonts w:hint="eastAsia" w:ascii="宋体" w:hAnsi="宋体" w:cs="宋体"/>
                <w:kern w:val="0"/>
                <w:sz w:val="22"/>
              </w:rPr>
              <w:t>、房屋（平方米）</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3600</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350</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3600</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350</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2</w:t>
            </w:r>
            <w:r>
              <w:rPr>
                <w:rFonts w:hint="eastAsia" w:ascii="宋体" w:hAnsi="宋体" w:cs="宋体"/>
                <w:kern w:val="0"/>
                <w:sz w:val="22"/>
              </w:rPr>
              <w:t>、车辆（台、辆）</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1</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13.5</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3</w:t>
            </w:r>
            <w:r>
              <w:rPr>
                <w:rFonts w:hint="eastAsia" w:ascii="宋体" w:hAnsi="宋体" w:cs="宋体"/>
                <w:kern w:val="0"/>
                <w:sz w:val="22"/>
              </w:rPr>
              <w:t>、单价在</w:t>
            </w:r>
            <w:r>
              <w:rPr>
                <w:rFonts w:ascii="宋体" w:hAnsi="宋体" w:cs="宋体"/>
                <w:kern w:val="0"/>
                <w:sz w:val="22"/>
              </w:rPr>
              <w:t>50</w:t>
            </w:r>
            <w:r>
              <w:rPr>
                <w:rFonts w:hint="eastAsia" w:ascii="宋体" w:hAnsi="宋体" w:cs="宋体"/>
                <w:kern w:val="0"/>
                <w:sz w:val="22"/>
              </w:rPr>
              <w:t>万元以上的设备</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4</w:t>
            </w:r>
            <w:r>
              <w:rPr>
                <w:rFonts w:hint="eastAsia" w:ascii="宋体" w:hAnsi="宋体" w:cs="宋体"/>
                <w:kern w:val="0"/>
                <w:sz w:val="22"/>
              </w:rPr>
              <w:t>、其他固定资产</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155.16</w:t>
            </w:r>
          </w:p>
        </w:tc>
      </w:tr>
    </w:tbl>
    <w:p>
      <w:pPr>
        <w:ind w:firstLine="640"/>
        <w:rPr>
          <w:rFonts w:ascii="黑体" w:hAnsi="黑体" w:eastAsia="黑体"/>
          <w:sz w:val="32"/>
          <w:szCs w:val="32"/>
        </w:rPr>
      </w:pPr>
      <w:r>
        <w:rPr>
          <w:rFonts w:hint="eastAsia" w:ascii="黑体" w:hAnsi="黑体" w:eastAsia="黑体"/>
          <w:sz w:val="32"/>
          <w:szCs w:val="32"/>
        </w:rPr>
        <w:t>八、名词解释</w:t>
      </w:r>
    </w:p>
    <w:p>
      <w:pPr>
        <w:pStyle w:val="11"/>
        <w:ind w:firstLine="630" w:firstLineChars="196"/>
        <w:rPr>
          <w:rFonts w:ascii="仿宋_GB2312" w:eastAsia="仿宋_GB2312"/>
          <w:b/>
          <w:bCs/>
          <w:sz w:val="32"/>
          <w:szCs w:val="32"/>
        </w:rPr>
      </w:pPr>
      <w:r>
        <w:rPr>
          <w:rFonts w:ascii="仿宋_GB2312" w:eastAsia="仿宋_GB2312"/>
          <w:b/>
          <w:bCs/>
          <w:sz w:val="32"/>
          <w:szCs w:val="32"/>
        </w:rPr>
        <w:t>1</w:t>
      </w:r>
      <w:r>
        <w:rPr>
          <w:rFonts w:hint="eastAsia" w:ascii="仿宋_GB2312" w:hAnsi="FZFangSong-Z02" w:eastAsia="仿宋_GB2312" w:cs="FZFangSong-Z02"/>
          <w:sz w:val="32"/>
          <w:szCs w:val="32"/>
        </w:rPr>
        <w:t>、一般公共预算拨款收入：指县级财政当年拨付的资金。</w:t>
      </w:r>
    </w:p>
    <w:p>
      <w:pPr>
        <w:pStyle w:val="11"/>
        <w:rPr>
          <w:rFonts w:ascii="仿宋_GB2312" w:hAnsi="FZFangSong-Z02" w:eastAsia="仿宋_GB2312" w:cs="FZFangSong-Z02"/>
          <w:sz w:val="32"/>
          <w:szCs w:val="32"/>
        </w:rPr>
      </w:pPr>
      <w:r>
        <w:rPr>
          <w:rFonts w:ascii="仿宋_GB2312" w:eastAsia="仿宋_GB2312"/>
          <w:b/>
          <w:bCs/>
          <w:sz w:val="32"/>
          <w:szCs w:val="32"/>
        </w:rPr>
        <w:t xml:space="preserve">    2</w:t>
      </w:r>
      <w:r>
        <w:rPr>
          <w:rFonts w:hint="eastAsia" w:ascii="仿宋_GB2312" w:hAnsi="FZFangSong-Z02" w:eastAsia="仿宋_GB2312" w:cs="FZFangSong-Z02"/>
          <w:sz w:val="32"/>
          <w:szCs w:val="32"/>
        </w:rPr>
        <w:t>、事业收入：指事业单位开展专业业务活动及辅助活动所取得的收入。</w:t>
      </w:r>
    </w:p>
    <w:p>
      <w:pPr>
        <w:pStyle w:val="11"/>
        <w:rPr>
          <w:rFonts w:ascii="仿宋_GB2312" w:hAnsi="FZFangSong-Z02" w:eastAsia="仿宋_GB2312" w:cs="FZFangSong-Z02"/>
          <w:sz w:val="32"/>
          <w:szCs w:val="32"/>
        </w:rPr>
      </w:pPr>
      <w:r>
        <w:rPr>
          <w:rFonts w:ascii="仿宋_GB2312" w:eastAsia="仿宋_GB2312"/>
          <w:b/>
          <w:bCs/>
          <w:sz w:val="32"/>
          <w:szCs w:val="32"/>
        </w:rPr>
        <w:t xml:space="preserve">    3</w:t>
      </w:r>
      <w:r>
        <w:rPr>
          <w:rFonts w:hint="eastAsia" w:ascii="仿宋_GB2312" w:hAnsi="FZFangSong-Z02" w:eastAsia="仿宋_GB2312" w:cs="FZFangSong-Z02"/>
          <w:sz w:val="32"/>
          <w:szCs w:val="32"/>
        </w:rPr>
        <w:t>、其他收入：指除上述</w:t>
      </w:r>
      <w:r>
        <w:rPr>
          <w:rFonts w:hint="eastAsia" w:ascii="仿宋_GB2312" w:eastAsia="仿宋_GB2312"/>
          <w:sz w:val="32"/>
          <w:szCs w:val="32"/>
        </w:rPr>
        <w:t>“</w:t>
      </w:r>
      <w:r>
        <w:rPr>
          <w:rFonts w:hint="eastAsia" w:ascii="仿宋_GB2312" w:hAnsi="FZFangSong-Z02" w:eastAsia="仿宋_GB2312" w:cs="FZFangSong-Z02"/>
          <w:sz w:val="32"/>
          <w:szCs w:val="32"/>
        </w:rPr>
        <w:t>财政拨款收入</w:t>
      </w:r>
      <w:r>
        <w:rPr>
          <w:rFonts w:hint="eastAsia" w:ascii="仿宋_GB2312" w:eastAsia="仿宋_GB2312"/>
          <w:sz w:val="32"/>
          <w:szCs w:val="32"/>
        </w:rPr>
        <w:t>”</w:t>
      </w:r>
      <w:r>
        <w:rPr>
          <w:rFonts w:hint="eastAsia" w:ascii="仿宋_GB2312" w:hAnsi="FZFangSong-Z02" w:eastAsia="仿宋_GB2312" w:cs="FZFangSong-Z02"/>
          <w:sz w:val="32"/>
          <w:szCs w:val="32"/>
        </w:rPr>
        <w:t>、</w:t>
      </w:r>
      <w:r>
        <w:rPr>
          <w:rFonts w:hint="eastAsia" w:ascii="仿宋_GB2312" w:eastAsia="仿宋_GB2312"/>
          <w:sz w:val="32"/>
          <w:szCs w:val="32"/>
        </w:rPr>
        <w:t>“</w:t>
      </w:r>
      <w:r>
        <w:rPr>
          <w:rFonts w:hint="eastAsia" w:ascii="仿宋_GB2312" w:hAnsi="FZFangSong-Z02" w:eastAsia="仿宋_GB2312" w:cs="FZFangSong-Z02"/>
          <w:sz w:val="32"/>
          <w:szCs w:val="32"/>
        </w:rPr>
        <w:t>事业收入</w:t>
      </w:r>
      <w:r>
        <w:rPr>
          <w:rFonts w:hint="eastAsia" w:ascii="仿宋_GB2312" w:eastAsia="仿宋_GB2312"/>
          <w:sz w:val="32"/>
          <w:szCs w:val="32"/>
        </w:rPr>
        <w:t>”</w:t>
      </w:r>
      <w:r>
        <w:rPr>
          <w:rFonts w:hint="eastAsia" w:ascii="仿宋_GB2312" w:hAnsi="FZFangSong-Z02" w:eastAsia="仿宋_GB2312" w:cs="FZFangSong-Z02"/>
          <w:sz w:val="32"/>
          <w:szCs w:val="32"/>
        </w:rPr>
        <w:t>等以外的收入。主要是按规定动用的租房收入、存款利息收入等。</w:t>
      </w:r>
    </w:p>
    <w:p>
      <w:pPr>
        <w:pStyle w:val="11"/>
        <w:rPr>
          <w:rFonts w:ascii="仿宋_GB2312" w:hAnsi="FZFangSong-Z02" w:eastAsia="仿宋_GB2312" w:cs="FZFangSong-Z02"/>
          <w:sz w:val="32"/>
          <w:szCs w:val="32"/>
        </w:rPr>
      </w:pPr>
      <w:r>
        <w:rPr>
          <w:rFonts w:ascii="仿宋_GB2312" w:eastAsia="仿宋_GB2312"/>
          <w:b/>
          <w:bCs/>
          <w:sz w:val="32"/>
          <w:szCs w:val="32"/>
        </w:rPr>
        <w:t xml:space="preserve">    4</w:t>
      </w:r>
      <w:r>
        <w:rPr>
          <w:rFonts w:hint="eastAsia" w:ascii="仿宋_GB2312" w:hAnsi="FZFangSong-Z02" w:eastAsia="仿宋_GB2312" w:cs="FZFangSong-Z02"/>
          <w:sz w:val="32"/>
          <w:szCs w:val="32"/>
        </w:rPr>
        <w:t>、基本支出：</w:t>
      </w:r>
      <w:r>
        <w:rPr>
          <w:rFonts w:hint="eastAsia" w:ascii="仿宋_GB2312" w:eastAsia="仿宋_GB2312"/>
          <w:sz w:val="32"/>
          <w:szCs w:val="32"/>
        </w:rPr>
        <w:t>指为保障机构正常运转、完成日常工作任务而发生的人员支出和公用支出。</w:t>
      </w:r>
    </w:p>
    <w:p>
      <w:pPr>
        <w:rPr>
          <w:rFonts w:ascii="仿宋_GB2312" w:eastAsia="仿宋_GB2312"/>
          <w:sz w:val="32"/>
          <w:szCs w:val="32"/>
        </w:rPr>
      </w:pPr>
      <w:r>
        <w:rPr>
          <w:rFonts w:ascii="仿宋_GB2312" w:eastAsia="仿宋_GB2312"/>
          <w:b/>
          <w:bCs/>
          <w:sz w:val="32"/>
          <w:szCs w:val="32"/>
        </w:rPr>
        <w:t xml:space="preserve">    5</w:t>
      </w:r>
      <w:r>
        <w:rPr>
          <w:rFonts w:hint="eastAsia" w:ascii="仿宋_GB2312" w:hAnsi="FZFangSong-Z02" w:eastAsia="仿宋_GB2312" w:cs="FZFangSong-Z02"/>
          <w:sz w:val="32"/>
          <w:szCs w:val="32"/>
        </w:rPr>
        <w:t>、项目支出：</w:t>
      </w:r>
      <w:r>
        <w:rPr>
          <w:rFonts w:hint="eastAsia" w:ascii="仿宋_GB2312" w:eastAsia="仿宋_GB2312"/>
          <w:sz w:val="32"/>
          <w:szCs w:val="32"/>
        </w:rPr>
        <w:t>指在基本支出之外为完成特定行政任务和事业发展目标所发生的支出。</w:t>
      </w:r>
    </w:p>
    <w:p>
      <w:pPr>
        <w:pStyle w:val="11"/>
        <w:rPr>
          <w:rFonts w:ascii="仿宋_GB2312" w:eastAsia="仿宋_GB2312"/>
          <w:sz w:val="32"/>
          <w:szCs w:val="32"/>
        </w:rPr>
      </w:pPr>
      <w:r>
        <w:rPr>
          <w:rFonts w:ascii="仿宋_GB2312" w:eastAsia="仿宋_GB2312"/>
          <w:b/>
          <w:bCs/>
          <w:sz w:val="32"/>
          <w:szCs w:val="32"/>
        </w:rPr>
        <w:t xml:space="preserve">    6</w:t>
      </w:r>
      <w:r>
        <w:rPr>
          <w:rFonts w:hint="eastAsia" w:ascii="仿宋_GB2312" w:hAnsi="FZFangSong-Z02" w:eastAsia="仿宋_GB2312" w:cs="FZFangSong-Z02"/>
          <w:sz w:val="32"/>
          <w:szCs w:val="32"/>
        </w:rPr>
        <w:t>、上缴上级支出：</w:t>
      </w:r>
      <w:r>
        <w:rPr>
          <w:rFonts w:hint="eastAsia" w:ascii="仿宋_GB2312" w:eastAsia="仿宋_GB2312"/>
          <w:sz w:val="32"/>
          <w:szCs w:val="32"/>
        </w:rPr>
        <w:t>指下级单位上缴上级的支出。</w:t>
      </w:r>
    </w:p>
    <w:p>
      <w:pPr>
        <w:pStyle w:val="11"/>
        <w:rPr>
          <w:rFonts w:ascii="仿宋_GB2312" w:hAnsi="FZFangSong-Z02" w:eastAsia="仿宋_GB2312" w:cs="FZFangSong-Z02"/>
          <w:sz w:val="32"/>
          <w:szCs w:val="32"/>
        </w:rPr>
      </w:pPr>
      <w:r>
        <w:rPr>
          <w:rFonts w:ascii="仿宋_GB2312" w:eastAsia="仿宋_GB2312"/>
          <w:b/>
          <w:bCs/>
          <w:sz w:val="32"/>
          <w:szCs w:val="32"/>
        </w:rPr>
        <w:t xml:space="preserve">    7</w:t>
      </w:r>
      <w:r>
        <w:rPr>
          <w:rFonts w:hint="eastAsia" w:ascii="仿宋_GB2312" w:hAnsi="FZFangSong-Z02" w:eastAsia="仿宋_GB2312" w:cs="FZFangSong-Z02"/>
          <w:sz w:val="32"/>
          <w:szCs w:val="32"/>
        </w:rPr>
        <w:t>、</w:t>
      </w:r>
      <w:r>
        <w:rPr>
          <w:rFonts w:hint="eastAsia" w:ascii="仿宋_GB2312" w:eastAsia="仿宋_GB2312"/>
          <w:b/>
          <w:bCs/>
          <w:sz w:val="32"/>
          <w:szCs w:val="32"/>
        </w:rPr>
        <w:t>“</w:t>
      </w:r>
      <w:r>
        <w:rPr>
          <w:rFonts w:hint="eastAsia" w:ascii="仿宋_GB2312" w:hAnsi="FZFangSong-Z02" w:eastAsia="仿宋_GB2312" w:cs="FZFangSong-Z02"/>
          <w:sz w:val="32"/>
          <w:szCs w:val="32"/>
        </w:rPr>
        <w:t>三公</w:t>
      </w:r>
      <w:r>
        <w:rPr>
          <w:rFonts w:hint="eastAsia" w:ascii="仿宋_GB2312" w:eastAsia="仿宋_GB2312"/>
          <w:b/>
          <w:bCs/>
          <w:sz w:val="32"/>
          <w:szCs w:val="32"/>
        </w:rPr>
        <w:t>”</w:t>
      </w:r>
      <w:r>
        <w:rPr>
          <w:rFonts w:hint="eastAsia" w:ascii="仿宋_GB2312" w:hAnsi="FZFangSong-Z02" w:eastAsia="仿宋_GB2312" w:cs="FZFangSong-Z02"/>
          <w:sz w:val="32"/>
          <w:szCs w:val="32"/>
        </w:rPr>
        <w:t>经费：纳入县级财政预算管理的</w:t>
      </w:r>
      <w:r>
        <w:rPr>
          <w:rFonts w:hint="eastAsia" w:ascii="仿宋_GB2312" w:eastAsia="仿宋_GB2312"/>
          <w:sz w:val="32"/>
          <w:szCs w:val="32"/>
        </w:rPr>
        <w:t>“</w:t>
      </w:r>
      <w:r>
        <w:rPr>
          <w:rFonts w:hint="eastAsia" w:ascii="仿宋_GB2312" w:hAnsi="FZFangSong-Z02" w:eastAsia="仿宋_GB2312" w:cs="FZFangSong-Z02"/>
          <w:sz w:val="32"/>
          <w:szCs w:val="32"/>
        </w:rPr>
        <w:t>三公</w:t>
      </w:r>
      <w:r>
        <w:rPr>
          <w:rFonts w:hint="eastAsia" w:ascii="仿宋_GB2312" w:eastAsia="仿宋_GB2312"/>
          <w:sz w:val="32"/>
          <w:szCs w:val="32"/>
        </w:rPr>
        <w:t>”</w:t>
      </w:r>
      <w:r>
        <w:rPr>
          <w:rFonts w:hint="eastAsia" w:ascii="仿宋_GB2312" w:hAnsi="FZFangSong-Z02" w:eastAsia="仿宋_GB2312" w:cs="FZFangSong-Z02"/>
          <w:sz w:val="32"/>
          <w:szCs w:val="32"/>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rPr>
          <w:rFonts w:ascii="仿宋_GB2312" w:eastAsia="仿宋_GB2312"/>
          <w:sz w:val="32"/>
          <w:szCs w:val="32"/>
        </w:rPr>
      </w:pPr>
      <w:r>
        <w:rPr>
          <w:rFonts w:ascii="仿宋_GB2312" w:eastAsia="仿宋_GB2312"/>
          <w:b/>
          <w:bCs/>
          <w:sz w:val="32"/>
          <w:szCs w:val="32"/>
        </w:rPr>
        <w:t>8</w:t>
      </w:r>
      <w:r>
        <w:rPr>
          <w:rFonts w:hint="eastAsia" w:ascii="仿宋_GB2312" w:hAnsi="FZFangSong-Z02" w:eastAsia="仿宋_GB2312"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ind w:firstLine="640"/>
        <w:rPr>
          <w:rFonts w:ascii="黑体" w:hAnsi="黑体" w:eastAsia="黑体"/>
          <w:sz w:val="32"/>
          <w:szCs w:val="32"/>
        </w:rPr>
      </w:pPr>
      <w:r>
        <w:rPr>
          <w:rFonts w:hint="eastAsia" w:ascii="黑体" w:hAnsi="黑体" w:eastAsia="黑体"/>
          <w:sz w:val="32"/>
          <w:szCs w:val="32"/>
        </w:rPr>
        <w:t>九、其它需要说明的事项</w:t>
      </w:r>
    </w:p>
    <w:p>
      <w:pPr>
        <w:tabs>
          <w:tab w:val="left" w:pos="11490"/>
        </w:tabs>
        <w:ind w:firstLine="640" w:firstLineChars="200"/>
        <w:rPr>
          <w:rFonts w:ascii="仿宋" w:hAnsi="仿宋" w:eastAsia="仿宋"/>
          <w:sz w:val="32"/>
          <w:szCs w:val="32"/>
        </w:rPr>
      </w:pPr>
      <w:r>
        <w:rPr>
          <w:rFonts w:hint="eastAsia" w:ascii="仿宋" w:hAnsi="仿宋" w:eastAsia="仿宋"/>
          <w:sz w:val="32"/>
          <w:szCs w:val="32"/>
        </w:rPr>
        <w:t>无其它需要说明的事项。</w:t>
      </w: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SimSun-ExtB"/>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FZFangSong-Z02">
    <w:altName w:val="Arial"/>
    <w:panose1 w:val="00000000000000000000"/>
    <w:charset w:val="00"/>
    <w:family w:val="swiss"/>
    <w:pitch w:val="default"/>
    <w:sig w:usb0="00000000" w:usb1="00000000" w:usb2="00000000" w:usb3="00000000" w:csb0="00000001" w:csb1="00000000"/>
  </w:font>
  <w:font w:name="SimSun-ExtB">
    <w:panose1 w:val="02010609060101010101"/>
    <w:charset w:val="86"/>
    <w:family w:val="auto"/>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E2A64E"/>
    <w:multiLevelType w:val="singleLevel"/>
    <w:tmpl w:val="96E2A64E"/>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05AA1"/>
    <w:rsid w:val="000251F1"/>
    <w:rsid w:val="00037AF6"/>
    <w:rsid w:val="0004140B"/>
    <w:rsid w:val="00045A61"/>
    <w:rsid w:val="00052587"/>
    <w:rsid w:val="00062DD6"/>
    <w:rsid w:val="000650DE"/>
    <w:rsid w:val="000751CD"/>
    <w:rsid w:val="00075D5F"/>
    <w:rsid w:val="00093D80"/>
    <w:rsid w:val="000A63E7"/>
    <w:rsid w:val="000B04B5"/>
    <w:rsid w:val="000C3A19"/>
    <w:rsid w:val="000D1ED1"/>
    <w:rsid w:val="0012106A"/>
    <w:rsid w:val="001245BB"/>
    <w:rsid w:val="00125FBB"/>
    <w:rsid w:val="0018479D"/>
    <w:rsid w:val="001C1F53"/>
    <w:rsid w:val="001C4F55"/>
    <w:rsid w:val="00203698"/>
    <w:rsid w:val="00223272"/>
    <w:rsid w:val="00241FD4"/>
    <w:rsid w:val="0024465C"/>
    <w:rsid w:val="00246DD9"/>
    <w:rsid w:val="002508C4"/>
    <w:rsid w:val="00251B12"/>
    <w:rsid w:val="00260879"/>
    <w:rsid w:val="00261354"/>
    <w:rsid w:val="002645FB"/>
    <w:rsid w:val="00274B2E"/>
    <w:rsid w:val="00296113"/>
    <w:rsid w:val="002C200A"/>
    <w:rsid w:val="002C5A72"/>
    <w:rsid w:val="002D1476"/>
    <w:rsid w:val="002D3227"/>
    <w:rsid w:val="002D4AF7"/>
    <w:rsid w:val="002F3E58"/>
    <w:rsid w:val="0030542C"/>
    <w:rsid w:val="00311B7A"/>
    <w:rsid w:val="00332ABC"/>
    <w:rsid w:val="003978D9"/>
    <w:rsid w:val="003A094E"/>
    <w:rsid w:val="003E1A7F"/>
    <w:rsid w:val="003E23A5"/>
    <w:rsid w:val="003F49E7"/>
    <w:rsid w:val="003F58F6"/>
    <w:rsid w:val="00415CB8"/>
    <w:rsid w:val="00450F8F"/>
    <w:rsid w:val="00451871"/>
    <w:rsid w:val="00472923"/>
    <w:rsid w:val="00497870"/>
    <w:rsid w:val="004B37C2"/>
    <w:rsid w:val="004E3066"/>
    <w:rsid w:val="004E74CD"/>
    <w:rsid w:val="004F6123"/>
    <w:rsid w:val="00520CEC"/>
    <w:rsid w:val="00532AAA"/>
    <w:rsid w:val="0056326C"/>
    <w:rsid w:val="005632E5"/>
    <w:rsid w:val="00572603"/>
    <w:rsid w:val="00573562"/>
    <w:rsid w:val="00595C93"/>
    <w:rsid w:val="005C1AEB"/>
    <w:rsid w:val="005C248A"/>
    <w:rsid w:val="005D68FF"/>
    <w:rsid w:val="006009A1"/>
    <w:rsid w:val="00614A29"/>
    <w:rsid w:val="006345D5"/>
    <w:rsid w:val="00635B45"/>
    <w:rsid w:val="00646686"/>
    <w:rsid w:val="0069476A"/>
    <w:rsid w:val="006954B0"/>
    <w:rsid w:val="006D6C8A"/>
    <w:rsid w:val="006E5AA3"/>
    <w:rsid w:val="007323EB"/>
    <w:rsid w:val="0075393C"/>
    <w:rsid w:val="00757221"/>
    <w:rsid w:val="00776C08"/>
    <w:rsid w:val="007A1524"/>
    <w:rsid w:val="007B2D87"/>
    <w:rsid w:val="007B4EE0"/>
    <w:rsid w:val="007E1DA8"/>
    <w:rsid w:val="007F1DCF"/>
    <w:rsid w:val="007F6C26"/>
    <w:rsid w:val="007F7075"/>
    <w:rsid w:val="00803D50"/>
    <w:rsid w:val="00826AC9"/>
    <w:rsid w:val="008334AE"/>
    <w:rsid w:val="00836FED"/>
    <w:rsid w:val="00845CD2"/>
    <w:rsid w:val="008502D8"/>
    <w:rsid w:val="00852B0D"/>
    <w:rsid w:val="00881692"/>
    <w:rsid w:val="00882325"/>
    <w:rsid w:val="008B3CC5"/>
    <w:rsid w:val="008C2BAF"/>
    <w:rsid w:val="008E4261"/>
    <w:rsid w:val="008F4662"/>
    <w:rsid w:val="00905196"/>
    <w:rsid w:val="00905D08"/>
    <w:rsid w:val="0091236C"/>
    <w:rsid w:val="00925753"/>
    <w:rsid w:val="00927B0B"/>
    <w:rsid w:val="009668BA"/>
    <w:rsid w:val="00966C5C"/>
    <w:rsid w:val="00967BB9"/>
    <w:rsid w:val="00973104"/>
    <w:rsid w:val="009A2998"/>
    <w:rsid w:val="009C119B"/>
    <w:rsid w:val="00A11219"/>
    <w:rsid w:val="00A34D76"/>
    <w:rsid w:val="00A662E9"/>
    <w:rsid w:val="00A72D2E"/>
    <w:rsid w:val="00A911E7"/>
    <w:rsid w:val="00A939D9"/>
    <w:rsid w:val="00AA71ED"/>
    <w:rsid w:val="00AB73CD"/>
    <w:rsid w:val="00AC1801"/>
    <w:rsid w:val="00AF6B63"/>
    <w:rsid w:val="00B043C4"/>
    <w:rsid w:val="00B20712"/>
    <w:rsid w:val="00B240A9"/>
    <w:rsid w:val="00B43238"/>
    <w:rsid w:val="00B524B1"/>
    <w:rsid w:val="00B75216"/>
    <w:rsid w:val="00B91D52"/>
    <w:rsid w:val="00BA1ACD"/>
    <w:rsid w:val="00BA408B"/>
    <w:rsid w:val="00BA6C50"/>
    <w:rsid w:val="00C20230"/>
    <w:rsid w:val="00C21BCB"/>
    <w:rsid w:val="00C24BF5"/>
    <w:rsid w:val="00C44A1E"/>
    <w:rsid w:val="00C720E3"/>
    <w:rsid w:val="00C8569A"/>
    <w:rsid w:val="00CA7176"/>
    <w:rsid w:val="00CD2773"/>
    <w:rsid w:val="00CD326E"/>
    <w:rsid w:val="00CE143B"/>
    <w:rsid w:val="00CE403B"/>
    <w:rsid w:val="00CE5192"/>
    <w:rsid w:val="00CF2D57"/>
    <w:rsid w:val="00D361CD"/>
    <w:rsid w:val="00D6459D"/>
    <w:rsid w:val="00D80DB8"/>
    <w:rsid w:val="00DA2FDB"/>
    <w:rsid w:val="00DD2E66"/>
    <w:rsid w:val="00E167C7"/>
    <w:rsid w:val="00E84FEB"/>
    <w:rsid w:val="00EC08B9"/>
    <w:rsid w:val="00EC47F6"/>
    <w:rsid w:val="00EE1B43"/>
    <w:rsid w:val="00EF15F5"/>
    <w:rsid w:val="00F153EF"/>
    <w:rsid w:val="00F50E15"/>
    <w:rsid w:val="00F61055"/>
    <w:rsid w:val="00F66032"/>
    <w:rsid w:val="00F71E48"/>
    <w:rsid w:val="00F958C2"/>
    <w:rsid w:val="00FB4CD3"/>
    <w:rsid w:val="00FC6357"/>
    <w:rsid w:val="00FD2081"/>
    <w:rsid w:val="00FE3D85"/>
    <w:rsid w:val="04FB1C0C"/>
    <w:rsid w:val="05373401"/>
    <w:rsid w:val="05BA1B1D"/>
    <w:rsid w:val="07BE1393"/>
    <w:rsid w:val="08652FB1"/>
    <w:rsid w:val="08D33A4F"/>
    <w:rsid w:val="11C35E28"/>
    <w:rsid w:val="23BF6B9A"/>
    <w:rsid w:val="244F207A"/>
    <w:rsid w:val="27F55CCB"/>
    <w:rsid w:val="36C525D2"/>
    <w:rsid w:val="3E2D523D"/>
    <w:rsid w:val="431402BB"/>
    <w:rsid w:val="47A40203"/>
    <w:rsid w:val="52422847"/>
    <w:rsid w:val="58743CD4"/>
    <w:rsid w:val="58B158B0"/>
    <w:rsid w:val="590E01BA"/>
    <w:rsid w:val="5970333A"/>
    <w:rsid w:val="75810400"/>
    <w:rsid w:val="7DFB180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semiHidden/>
    <w:unhideWhenUsed/>
    <w:uiPriority w:val="99"/>
    <w:rPr>
      <w:rFonts w:ascii="宋体" w:hAnsi="Courier New" w:eastAsia="宋体" w:cs="Courier New"/>
      <w:szCs w:val="21"/>
    </w:rPr>
  </w:style>
  <w:style w:type="paragraph" w:styleId="3">
    <w:name w:val="footer"/>
    <w:basedOn w:val="1"/>
    <w:link w:val="9"/>
    <w:qFormat/>
    <w:uiPriority w:val="99"/>
    <w:pPr>
      <w:tabs>
        <w:tab w:val="center" w:pos="4153"/>
        <w:tab w:val="right" w:pos="8306"/>
      </w:tabs>
      <w:snapToGrid w:val="0"/>
      <w:jc w:val="left"/>
    </w:pPr>
    <w:rPr>
      <w:rFonts w:ascii="Times New Roman" w:hAnsi="Times New Roman"/>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5">
    <w:name w:val="toc 1"/>
    <w:basedOn w:val="1"/>
    <w:next w:val="1"/>
    <w:uiPriority w:val="99"/>
    <w:rPr>
      <w:rFonts w:ascii="Times New Roman" w:hAnsi="Times New Roman"/>
      <w:szCs w:val="24"/>
    </w:rPr>
  </w:style>
  <w:style w:type="paragraph" w:styleId="6">
    <w:name w:val="toc 2"/>
    <w:basedOn w:val="1"/>
    <w:next w:val="1"/>
    <w:uiPriority w:val="99"/>
    <w:pPr>
      <w:ind w:left="420" w:leftChars="200"/>
    </w:pPr>
    <w:rPr>
      <w:rFonts w:ascii="Times New Roman" w:hAnsi="Times New Roman"/>
      <w:szCs w:val="24"/>
    </w:rPr>
  </w:style>
  <w:style w:type="character" w:customStyle="1" w:styleId="9">
    <w:name w:val="Footer Char"/>
    <w:basedOn w:val="7"/>
    <w:link w:val="3"/>
    <w:locked/>
    <w:uiPriority w:val="99"/>
    <w:rPr>
      <w:rFonts w:ascii="Times New Roman" w:hAnsi="Times New Roman" w:eastAsia="宋体" w:cs="Times New Roman"/>
      <w:sz w:val="18"/>
      <w:szCs w:val="18"/>
    </w:rPr>
  </w:style>
  <w:style w:type="character" w:customStyle="1" w:styleId="10">
    <w:name w:val="Header Char"/>
    <w:basedOn w:val="7"/>
    <w:link w:val="4"/>
    <w:locked/>
    <w:uiPriority w:val="99"/>
    <w:rPr>
      <w:rFonts w:ascii="Times New Roman" w:hAnsi="Times New Roman" w:eastAsia="宋体" w:cs="Times New Roman"/>
      <w:sz w:val="18"/>
      <w:szCs w:val="18"/>
    </w:rPr>
  </w:style>
  <w:style w:type="paragraph" w:customStyle="1" w:styleId="11">
    <w:name w:val="Defaul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9</Pages>
  <Words>452</Words>
  <Characters>2579</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Administrator</cp:lastModifiedBy>
  <dcterms:modified xsi:type="dcterms:W3CDTF">2018-03-01T12:12:52Z</dcterms:modified>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